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32" w:rsidRDefault="00EF2632" w:rsidP="00EF2632">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p w:rsidR="00EF2632" w:rsidRDefault="00EF2632" w:rsidP="00EF2632"/>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tblGrid>
      <w:tr w:rsidR="00EF2632" w:rsidRPr="00CC3D18" w:rsidTr="00D671C9">
        <w:tc>
          <w:tcPr>
            <w:tcW w:w="2875" w:type="dxa"/>
          </w:tcPr>
          <w:p w:rsidR="00EF2632" w:rsidRPr="00CC3D18" w:rsidRDefault="00EF2632" w:rsidP="00D671C9">
            <w:pPr>
              <w:jc w:val="center"/>
              <w:rPr>
                <w:b/>
              </w:rPr>
            </w:pPr>
            <w:r w:rsidRPr="00CC3D18">
              <w:rPr>
                <w:b/>
              </w:rPr>
              <w:t xml:space="preserve">WS </w:t>
            </w:r>
            <w:r w:rsidR="00F66C86">
              <w:rPr>
                <w:b/>
              </w:rPr>
              <w:t>1</w:t>
            </w:r>
            <w:r w:rsidR="00FA6F96">
              <w:rPr>
                <w:b/>
              </w:rPr>
              <w:t>7</w:t>
            </w:r>
            <w:r w:rsidR="00F66C86">
              <w:rPr>
                <w:b/>
              </w:rPr>
              <w:t>-</w:t>
            </w:r>
            <w:r w:rsidR="00FA6F96">
              <w:rPr>
                <w:b/>
              </w:rPr>
              <w:t>13</w:t>
            </w:r>
          </w:p>
        </w:tc>
      </w:tr>
      <w:tr w:rsidR="00EF2632" w:rsidRPr="00CC3D18" w:rsidTr="00D671C9">
        <w:tc>
          <w:tcPr>
            <w:tcW w:w="2875" w:type="dxa"/>
          </w:tcPr>
          <w:p w:rsidR="00EF2632" w:rsidRPr="00CC3D18" w:rsidRDefault="00FA6F96" w:rsidP="00ED57BC">
            <w:pPr>
              <w:jc w:val="center"/>
              <w:rPr>
                <w:b/>
              </w:rPr>
            </w:pPr>
            <w:r>
              <w:rPr>
                <w:b/>
              </w:rPr>
              <w:t xml:space="preserve">September </w:t>
            </w:r>
            <w:r w:rsidR="00A13032">
              <w:rPr>
                <w:b/>
              </w:rPr>
              <w:t>6</w:t>
            </w:r>
            <w:r w:rsidR="00F66C86">
              <w:rPr>
                <w:b/>
              </w:rPr>
              <w:t>, 201</w:t>
            </w:r>
            <w:r>
              <w:rPr>
                <w:b/>
              </w:rPr>
              <w:t>7</w:t>
            </w:r>
          </w:p>
        </w:tc>
      </w:tr>
      <w:tr w:rsidR="00EF2632" w:rsidRPr="00CC3D18" w:rsidTr="00D671C9">
        <w:tc>
          <w:tcPr>
            <w:tcW w:w="2875" w:type="dxa"/>
          </w:tcPr>
          <w:p w:rsidR="00D671C9" w:rsidRPr="00CC3D18" w:rsidRDefault="00D671C9" w:rsidP="00AB57CB">
            <w:pPr>
              <w:jc w:val="center"/>
              <w:rPr>
                <w:b/>
              </w:rPr>
            </w:pPr>
            <w:r>
              <w:rPr>
                <w:b/>
              </w:rPr>
              <w:t>Equal Opportunity</w:t>
            </w:r>
          </w:p>
        </w:tc>
      </w:tr>
      <w:tr w:rsidR="00EF2632" w:rsidRPr="00CC3D18" w:rsidTr="00D671C9">
        <w:tc>
          <w:tcPr>
            <w:tcW w:w="2875" w:type="dxa"/>
          </w:tcPr>
          <w:p w:rsidR="00EF2632" w:rsidRPr="00CC3D18" w:rsidRDefault="00EF2632" w:rsidP="00AB57C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r>
      <w:r w:rsidR="00DE5242">
        <w:t xml:space="preserve">All Contractors except </w:t>
      </w:r>
      <w:r w:rsidR="00862A53">
        <w:t>Early Education</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EF2632" w:rsidRDefault="00EF2632" w:rsidP="00EF2632">
      <w:r>
        <w:tab/>
      </w:r>
      <w:r>
        <w:tab/>
        <w:t xml:space="preserve">David </w:t>
      </w:r>
      <w:proofErr w:type="spellStart"/>
      <w:r>
        <w:t>Baggerly</w:t>
      </w:r>
      <w:proofErr w:type="spellEnd"/>
    </w:p>
    <w:p w:rsidR="00D671C9" w:rsidRPr="00EC1E9B" w:rsidRDefault="00D671C9" w:rsidP="00EF2632">
      <w:r>
        <w:tab/>
      </w:r>
      <w:r>
        <w:tab/>
      </w:r>
      <w:proofErr w:type="spellStart"/>
      <w:r>
        <w:t>Bobi</w:t>
      </w:r>
      <w:proofErr w:type="spellEnd"/>
      <w:r>
        <w:t xml:space="preserve"> Cook</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r w:rsidR="00F66C86">
        <w:rPr>
          <w:rFonts w:ascii="Times New Roman" w:hAnsi="Times New Roman"/>
        </w:rPr>
        <w:t>Equal Opportunity Standards and Guidelines</w:t>
      </w:r>
    </w:p>
    <w:p w:rsidR="00D9525E" w:rsidRPr="003C1A1D" w:rsidRDefault="00D9525E" w:rsidP="00EF2632">
      <w:pPr>
        <w:autoSpaceDE w:val="0"/>
        <w:autoSpaceDN w:val="0"/>
        <w:adjustRightInd w:val="0"/>
      </w:pPr>
    </w:p>
    <w:p w:rsidR="00EF2632" w:rsidRPr="003C1A1D" w:rsidRDefault="00EF2632" w:rsidP="00A06820">
      <w:pPr>
        <w:autoSpaceDE w:val="0"/>
        <w:autoSpaceDN w:val="0"/>
        <w:adjustRightInd w:val="0"/>
        <w:rPr>
          <w:sz w:val="36"/>
          <w:szCs w:val="36"/>
        </w:rPr>
      </w:pPr>
      <w:r w:rsidRPr="003C1A1D">
        <w:rPr>
          <w:sz w:val="36"/>
          <w:szCs w:val="36"/>
        </w:rPr>
        <w:t>Purpose</w:t>
      </w:r>
    </w:p>
    <w:p w:rsidR="00EF2632" w:rsidRDefault="008F01C1" w:rsidP="00A06820">
      <w:r>
        <w:t>This issuance d</w:t>
      </w:r>
      <w:r w:rsidR="00992A8C">
        <w:t>istribute</w:t>
      </w:r>
      <w:r>
        <w:t>s</w:t>
      </w:r>
      <w:r w:rsidR="00992A8C">
        <w:t xml:space="preserve"> </w:t>
      </w:r>
      <w:r>
        <w:t xml:space="preserve">an </w:t>
      </w:r>
      <w:r w:rsidR="00992A8C">
        <w:t xml:space="preserve">updated </w:t>
      </w:r>
      <w:r w:rsidR="00440586" w:rsidRPr="00440586">
        <w:t xml:space="preserve">Workforce Solutions’ </w:t>
      </w:r>
      <w:r w:rsidR="00B76FA7" w:rsidRPr="00440586">
        <w:rPr>
          <w:snapToGrid w:val="0"/>
        </w:rPr>
        <w:t>Equal Opportunity Standards and Guidelines</w:t>
      </w:r>
      <w:r w:rsidR="00440586">
        <w:rPr>
          <w:rStyle w:val="Hyperlink"/>
          <w:snapToGrid w:val="0"/>
          <w:color w:val="auto"/>
          <w:u w:val="none"/>
        </w:rPr>
        <w:t>. Th</w:t>
      </w:r>
      <w:r w:rsidR="002A35C9">
        <w:rPr>
          <w:rStyle w:val="Hyperlink"/>
          <w:snapToGrid w:val="0"/>
          <w:color w:val="auto"/>
          <w:u w:val="none"/>
        </w:rPr>
        <w:t>is</w:t>
      </w:r>
      <w:r w:rsidR="00440586">
        <w:rPr>
          <w:rStyle w:val="Hyperlink"/>
          <w:snapToGrid w:val="0"/>
          <w:color w:val="auto"/>
          <w:u w:val="none"/>
        </w:rPr>
        <w:t xml:space="preserve"> </w:t>
      </w:r>
      <w:r w:rsidR="00992A8C">
        <w:rPr>
          <w:rStyle w:val="Hyperlink"/>
          <w:snapToGrid w:val="0"/>
          <w:color w:val="auto"/>
          <w:u w:val="none"/>
        </w:rPr>
        <w:t xml:space="preserve">issuance </w:t>
      </w:r>
      <w:r w:rsidR="00440586">
        <w:rPr>
          <w:rStyle w:val="Hyperlink"/>
          <w:snapToGrid w:val="0"/>
          <w:color w:val="auto"/>
          <w:u w:val="none"/>
        </w:rPr>
        <w:t xml:space="preserve">replaces </w:t>
      </w:r>
      <w:r w:rsidR="00327749">
        <w:rPr>
          <w:rFonts w:eastAsia="Calibri"/>
        </w:rPr>
        <w:t>Issuance WS 16-09</w:t>
      </w:r>
      <w:r w:rsidR="00440586">
        <w:rPr>
          <w:rFonts w:eastAsia="Calibri"/>
        </w:rPr>
        <w:t>.</w:t>
      </w:r>
    </w:p>
    <w:p w:rsidR="00D9525E" w:rsidRDefault="00D9525E" w:rsidP="00A06820"/>
    <w:p w:rsidR="00440586" w:rsidRDefault="00440586" w:rsidP="00A06820"/>
    <w:p w:rsidR="00EF2632" w:rsidRPr="003C1A1D" w:rsidRDefault="00EF2632" w:rsidP="00A06820">
      <w:pPr>
        <w:autoSpaceDE w:val="0"/>
        <w:autoSpaceDN w:val="0"/>
        <w:adjustRightInd w:val="0"/>
        <w:rPr>
          <w:sz w:val="36"/>
          <w:szCs w:val="36"/>
        </w:rPr>
      </w:pPr>
      <w:r w:rsidRPr="003C1A1D">
        <w:rPr>
          <w:sz w:val="36"/>
          <w:szCs w:val="36"/>
        </w:rPr>
        <w:t>Background</w:t>
      </w:r>
    </w:p>
    <w:p w:rsidR="00EF2632" w:rsidRPr="00CA0945" w:rsidRDefault="002A35C9" w:rsidP="002A35C9">
      <w:r w:rsidRPr="002A35C9">
        <w:rPr>
          <w:snapToGrid w:val="0"/>
        </w:rPr>
        <w:t>These Equal Opportunity Standards and Guidelines establish local procedures and are not intended to supersede any other applicable laws, regulations, or organizationally specific requirements. Workforce Solutions’ contractor procedures must contain at a minimum these same mandates and can provide additional protections.</w:t>
      </w:r>
    </w:p>
    <w:p w:rsidR="00862A53" w:rsidRDefault="00862A53" w:rsidP="00A06820">
      <w:pPr>
        <w:rPr>
          <w:snapToGrid w:val="0"/>
        </w:rPr>
      </w:pPr>
    </w:p>
    <w:p w:rsidR="00A06820" w:rsidRPr="00EA0583" w:rsidRDefault="00D9525E" w:rsidP="00A06820">
      <w:pPr>
        <w:rPr>
          <w:sz w:val="23"/>
          <w:szCs w:val="23"/>
        </w:rPr>
      </w:pPr>
      <w:r w:rsidRPr="006C07CF">
        <w:rPr>
          <w:snapToGrid w:val="0"/>
        </w:rPr>
        <w:t xml:space="preserve">The </w:t>
      </w:r>
      <w:r w:rsidRPr="002A35C9">
        <w:rPr>
          <w:snapToGrid w:val="0"/>
        </w:rPr>
        <w:t>Equal Opportunity Standards and Guidelines</w:t>
      </w:r>
      <w:r>
        <w:rPr>
          <w:i/>
          <w:snapToGrid w:val="0"/>
        </w:rPr>
        <w:t xml:space="preserve"> </w:t>
      </w:r>
      <w:r w:rsidR="00A06820" w:rsidRPr="00EA0583">
        <w:rPr>
          <w:sz w:val="23"/>
          <w:szCs w:val="23"/>
        </w:rPr>
        <w:t>provide guidance on:</w:t>
      </w:r>
    </w:p>
    <w:p w:rsidR="00A06820" w:rsidRPr="00A13032" w:rsidRDefault="00862A53" w:rsidP="00A06820">
      <w:pPr>
        <w:pStyle w:val="ListParagraph"/>
        <w:numPr>
          <w:ilvl w:val="0"/>
          <w:numId w:val="2"/>
        </w:numPr>
        <w:spacing w:before="0" w:after="0"/>
        <w:ind w:right="0"/>
      </w:pPr>
      <w:r w:rsidRPr="00A13032">
        <w:t>S</w:t>
      </w:r>
      <w:r w:rsidR="00A5349C" w:rsidRPr="00A13032">
        <w:t xml:space="preserve">tandards for administering </w:t>
      </w:r>
      <w:r w:rsidR="00F66C86" w:rsidRPr="00A13032">
        <w:t xml:space="preserve">Equal Opportunity </w:t>
      </w:r>
    </w:p>
    <w:p w:rsidR="00F66C86" w:rsidRPr="00A13032" w:rsidRDefault="002A35C9" w:rsidP="00F66C86">
      <w:pPr>
        <w:pStyle w:val="ListParagraph"/>
        <w:numPr>
          <w:ilvl w:val="0"/>
          <w:numId w:val="2"/>
        </w:numPr>
        <w:spacing w:before="0" w:after="0"/>
        <w:ind w:right="0"/>
      </w:pPr>
      <w:r w:rsidRPr="00A13032">
        <w:t>S</w:t>
      </w:r>
      <w:r w:rsidR="00C82BD4" w:rsidRPr="00A13032">
        <w:t xml:space="preserve">erving customers with limited </w:t>
      </w:r>
      <w:r w:rsidR="00592001" w:rsidRPr="00A13032">
        <w:t xml:space="preserve">English proficiency </w:t>
      </w:r>
    </w:p>
    <w:p w:rsidR="00F66C86" w:rsidRPr="00A13032" w:rsidRDefault="00862A53" w:rsidP="00F66C86">
      <w:pPr>
        <w:pStyle w:val="ListParagraph"/>
        <w:numPr>
          <w:ilvl w:val="0"/>
          <w:numId w:val="2"/>
        </w:numPr>
        <w:spacing w:before="0" w:after="0"/>
        <w:ind w:right="0"/>
      </w:pPr>
      <w:r w:rsidRPr="00A13032">
        <w:t>H</w:t>
      </w:r>
      <w:r w:rsidR="0008063E" w:rsidRPr="00A13032">
        <w:t>andling dis</w:t>
      </w:r>
      <w:r w:rsidR="00F66C86" w:rsidRPr="00A13032">
        <w:t>ability related inquiries</w:t>
      </w:r>
    </w:p>
    <w:p w:rsidR="00592001" w:rsidRPr="00A13032" w:rsidRDefault="00FF0C33" w:rsidP="00F66C86">
      <w:pPr>
        <w:pStyle w:val="ListParagraph"/>
        <w:numPr>
          <w:ilvl w:val="0"/>
          <w:numId w:val="2"/>
        </w:numPr>
        <w:spacing w:before="0" w:after="0"/>
        <w:ind w:right="0"/>
      </w:pPr>
      <w:r>
        <w:t>P</w:t>
      </w:r>
      <w:r w:rsidR="0008063E" w:rsidRPr="00A13032">
        <w:t>r</w:t>
      </w:r>
      <w:r w:rsidR="00592001" w:rsidRPr="00A13032">
        <w:t>oviding accommodations</w:t>
      </w:r>
      <w:r w:rsidR="0008063E" w:rsidRPr="00A13032">
        <w:t xml:space="preserve"> </w:t>
      </w:r>
    </w:p>
    <w:p w:rsidR="002A35C9" w:rsidRPr="00A13032" w:rsidRDefault="00862A53" w:rsidP="00F66C86">
      <w:pPr>
        <w:pStyle w:val="ListParagraph"/>
        <w:numPr>
          <w:ilvl w:val="0"/>
          <w:numId w:val="2"/>
        </w:numPr>
        <w:spacing w:before="0" w:after="0"/>
        <w:ind w:right="0"/>
      </w:pPr>
      <w:r w:rsidRPr="00A13032">
        <w:t>P</w:t>
      </w:r>
      <w:r w:rsidR="002A35C9" w:rsidRPr="00A13032">
        <w:t>rocessing discrimination</w:t>
      </w:r>
      <w:r w:rsidR="00592001" w:rsidRPr="00A13032">
        <w:t xml:space="preserve"> complaints</w:t>
      </w:r>
    </w:p>
    <w:p w:rsidR="00592001" w:rsidRPr="00A13032" w:rsidRDefault="002A35C9" w:rsidP="00F66C86">
      <w:pPr>
        <w:pStyle w:val="ListParagraph"/>
        <w:numPr>
          <w:ilvl w:val="0"/>
          <w:numId w:val="2"/>
        </w:numPr>
        <w:spacing w:before="0" w:after="0"/>
        <w:ind w:right="0"/>
      </w:pPr>
      <w:r w:rsidRPr="00A13032">
        <w:t>Equal Opportunity training requirements</w:t>
      </w:r>
      <w:r w:rsidR="0008063E" w:rsidRPr="00A13032">
        <w:t xml:space="preserve"> </w:t>
      </w:r>
    </w:p>
    <w:p w:rsidR="00EF2632" w:rsidRDefault="00EF2632" w:rsidP="00A06820">
      <w:pPr>
        <w:rPr>
          <w:sz w:val="23"/>
          <w:szCs w:val="23"/>
        </w:rPr>
      </w:pPr>
    </w:p>
    <w:p w:rsidR="00A06820" w:rsidRDefault="00A06820" w:rsidP="00A06820">
      <w:pPr>
        <w:rPr>
          <w:sz w:val="23"/>
          <w:szCs w:val="23"/>
        </w:rPr>
      </w:pPr>
    </w:p>
    <w:p w:rsidR="00EF2632" w:rsidRDefault="00EF2632" w:rsidP="0035584D">
      <w:pPr>
        <w:rPr>
          <w:sz w:val="36"/>
          <w:szCs w:val="36"/>
        </w:rPr>
      </w:pPr>
      <w:r>
        <w:rPr>
          <w:sz w:val="36"/>
          <w:szCs w:val="36"/>
        </w:rPr>
        <w:t>Action</w:t>
      </w:r>
    </w:p>
    <w:p w:rsidR="00A5349C" w:rsidRDefault="00440586" w:rsidP="0035584D">
      <w:pPr>
        <w:pStyle w:val="ListParagraph"/>
        <w:numPr>
          <w:ilvl w:val="0"/>
          <w:numId w:val="1"/>
        </w:numPr>
        <w:autoSpaceDE w:val="0"/>
        <w:autoSpaceDN w:val="0"/>
        <w:adjustRightInd w:val="0"/>
        <w:spacing w:before="0" w:after="0"/>
      </w:pPr>
      <w:r>
        <w:t>En</w:t>
      </w:r>
      <w:r w:rsidR="00A5349C" w:rsidRPr="000B3E56">
        <w:t xml:space="preserve">sure your organization has written procedures in place that implement the </w:t>
      </w:r>
      <w:r w:rsidR="00A5349C" w:rsidRPr="00502750">
        <w:t>Equal Opportunity Standards and Guidelines</w:t>
      </w:r>
      <w:r w:rsidR="00A13032">
        <w:t>,</w:t>
      </w:r>
      <w:r w:rsidR="00A5349C" w:rsidRPr="000B3E56">
        <w:t xml:space="preserve"> </w:t>
      </w:r>
      <w:r w:rsidR="00A13032">
        <w:t>as well as</w:t>
      </w:r>
      <w:r w:rsidR="00A5349C" w:rsidRPr="000B3E56">
        <w:t xml:space="preserve"> all </w:t>
      </w:r>
      <w:r w:rsidR="00A13032">
        <w:t xml:space="preserve">other </w:t>
      </w:r>
      <w:r w:rsidR="00A5349C" w:rsidRPr="000B3E56">
        <w:t>contractual requirements</w:t>
      </w:r>
      <w:r w:rsidR="00A5349C">
        <w:t>.</w:t>
      </w:r>
      <w:r w:rsidR="00A5349C" w:rsidRPr="000B3E56">
        <w:t xml:space="preserve"> </w:t>
      </w:r>
    </w:p>
    <w:p w:rsidR="00EF2632" w:rsidRDefault="00A5349C" w:rsidP="0035584D">
      <w:pPr>
        <w:pStyle w:val="ListParagraph"/>
        <w:numPr>
          <w:ilvl w:val="0"/>
          <w:numId w:val="1"/>
        </w:numPr>
        <w:autoSpaceDE w:val="0"/>
        <w:autoSpaceDN w:val="0"/>
        <w:adjustRightInd w:val="0"/>
        <w:spacing w:before="0" w:after="0"/>
      </w:pPr>
      <w:r>
        <w:t xml:space="preserve">Ensure all staff understand the standards and guidelines </w:t>
      </w:r>
      <w:r w:rsidR="003E09FB">
        <w:t>contained in this issuance.</w:t>
      </w:r>
    </w:p>
    <w:p w:rsidR="00EF2632" w:rsidRDefault="00EF2632" w:rsidP="0035584D">
      <w:pPr>
        <w:autoSpaceDE w:val="0"/>
        <w:autoSpaceDN w:val="0"/>
        <w:adjustRightInd w:val="0"/>
      </w:pPr>
    </w:p>
    <w:p w:rsidR="0035584D" w:rsidRDefault="0035584D" w:rsidP="0035584D">
      <w:pPr>
        <w:autoSpaceDE w:val="0"/>
        <w:autoSpaceDN w:val="0"/>
        <w:adjustRightInd w:val="0"/>
      </w:pPr>
    </w:p>
    <w:p w:rsidR="00502750" w:rsidRDefault="00502750">
      <w:pPr>
        <w:spacing w:after="200" w:line="276" w:lineRule="auto"/>
        <w:rPr>
          <w:sz w:val="36"/>
          <w:szCs w:val="36"/>
        </w:rPr>
      </w:pPr>
      <w:r>
        <w:rPr>
          <w:sz w:val="36"/>
          <w:szCs w:val="36"/>
        </w:rPr>
        <w:br w:type="page"/>
      </w:r>
    </w:p>
    <w:p w:rsidR="00EF2632" w:rsidRDefault="00EF2632" w:rsidP="0035584D">
      <w:pPr>
        <w:autoSpaceDE w:val="0"/>
        <w:autoSpaceDN w:val="0"/>
        <w:adjustRightInd w:val="0"/>
        <w:rPr>
          <w:sz w:val="36"/>
          <w:szCs w:val="36"/>
        </w:rPr>
      </w:pPr>
      <w:r>
        <w:rPr>
          <w:sz w:val="36"/>
          <w:szCs w:val="36"/>
        </w:rPr>
        <w:lastRenderedPageBreak/>
        <w:t>Questions</w:t>
      </w:r>
    </w:p>
    <w:p w:rsidR="00355498" w:rsidRDefault="00EF2632" w:rsidP="0035584D">
      <w:pPr>
        <w:autoSpaceDE w:val="0"/>
        <w:autoSpaceDN w:val="0"/>
        <w:adjustRightInd w:val="0"/>
      </w:pPr>
      <w:r>
        <w:t>Staff should ask questions of their supervisors first.  Direct questions for Board staff through the</w:t>
      </w:r>
      <w:r w:rsidR="00704700">
        <w:t xml:space="preserve"> electronic</w:t>
      </w:r>
      <w:r>
        <w:t xml:space="preserve"> </w:t>
      </w:r>
      <w:hyperlink r:id="rId9" w:history="1">
        <w:r w:rsidR="00704700" w:rsidRPr="001E7BDA">
          <w:rPr>
            <w:rStyle w:val="Hyperlink"/>
          </w:rPr>
          <w:t>Issuance Q&amp;A</w:t>
        </w:r>
      </w:hyperlink>
      <w:r w:rsidR="00704700">
        <w:t>.</w:t>
      </w:r>
    </w:p>
    <w:p w:rsidR="0035584D" w:rsidRDefault="0035584D" w:rsidP="0035584D">
      <w:pPr>
        <w:autoSpaceDE w:val="0"/>
        <w:autoSpaceDN w:val="0"/>
        <w:adjustRightInd w:val="0"/>
      </w:pPr>
    </w:p>
    <w:p w:rsidR="00440586" w:rsidRDefault="00440586" w:rsidP="0035584D">
      <w:pPr>
        <w:autoSpaceDE w:val="0"/>
        <w:autoSpaceDN w:val="0"/>
        <w:adjustRightInd w:val="0"/>
      </w:pPr>
    </w:p>
    <w:p w:rsidR="00440586" w:rsidRDefault="00440586" w:rsidP="0035584D">
      <w:pPr>
        <w:autoSpaceDE w:val="0"/>
        <w:autoSpaceDN w:val="0"/>
        <w:adjustRightInd w:val="0"/>
      </w:pPr>
      <w:r>
        <w:rPr>
          <w:rFonts w:eastAsia="Calibri"/>
          <w:sz w:val="36"/>
          <w:szCs w:val="36"/>
        </w:rPr>
        <w:t>Attachments</w:t>
      </w:r>
      <w:r w:rsidRPr="00F021FA">
        <w:rPr>
          <w:rFonts w:eastAsia="Calibri"/>
          <w:sz w:val="36"/>
          <w:szCs w:val="36"/>
        </w:rPr>
        <w:br/>
      </w:r>
      <w:hyperlink r:id="rId10" w:history="1">
        <w:r w:rsidR="002A35C9" w:rsidRPr="00292074">
          <w:rPr>
            <w:rStyle w:val="Hyperlink"/>
            <w:snapToGrid w:val="0"/>
          </w:rPr>
          <w:t>Equal Opportunity Standards and Guidelines</w:t>
        </w:r>
      </w:hyperlink>
      <w:bookmarkStart w:id="0" w:name="_GoBack"/>
      <w:bookmarkEnd w:id="0"/>
      <w:r w:rsidR="002A35C9">
        <w:rPr>
          <w:snapToGrid w:val="0"/>
        </w:rPr>
        <w:t>, revised 9/05/2017</w:t>
      </w:r>
    </w:p>
    <w:sectPr w:rsidR="00440586" w:rsidSect="00890A7D">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69" w:rsidRDefault="006F2869" w:rsidP="000A0BA7">
      <w:r>
        <w:separator/>
      </w:r>
    </w:p>
  </w:endnote>
  <w:endnote w:type="continuationSeparator" w:id="0">
    <w:p w:rsidR="006F2869" w:rsidRDefault="006F2869"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50" w:rsidRDefault="00502750" w:rsidP="00D05511">
    <w:pPr>
      <w:pStyle w:val="Footer"/>
      <w:jc w:val="right"/>
    </w:pPr>
    <w:r>
      <w:t>WS 17-13 Equal Opportunity Standards and Guidelines</w:t>
    </w:r>
  </w:p>
  <w:p w:rsidR="00502750" w:rsidRDefault="00502750" w:rsidP="00D05511">
    <w:pPr>
      <w:jc w:val="right"/>
    </w:pPr>
    <w:r>
      <w:t xml:space="preserve">September </w:t>
    </w:r>
    <w:r w:rsidR="00855F04">
      <w:t>6</w:t>
    </w:r>
    <w:r>
      <w:t>, 2017 --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292074">
          <w:rPr>
            <w:noProof/>
          </w:rPr>
          <w:t>1</w:t>
        </w:r>
        <w:r>
          <w:rPr>
            <w:noProof/>
          </w:rPr>
          <w:fldChar w:fldCharType="end"/>
        </w:r>
        <w:r>
          <w:t xml:space="preserve"> of </w:t>
        </w:r>
        <w:r w:rsidR="006F2869">
          <w:fldChar w:fldCharType="begin"/>
        </w:r>
        <w:r w:rsidR="006F2869">
          <w:instrText xml:space="preserve"> NUMPAGES  </w:instrText>
        </w:r>
        <w:r w:rsidR="006F2869">
          <w:fldChar w:fldCharType="separate"/>
        </w:r>
        <w:r w:rsidR="00292074">
          <w:rPr>
            <w:noProof/>
          </w:rPr>
          <w:t>2</w:t>
        </w:r>
        <w:r w:rsidR="006F2869">
          <w:rPr>
            <w:noProof/>
          </w:rPr>
          <w:fldChar w:fldCharType="end"/>
        </w:r>
      </w:sdtContent>
    </w:sdt>
  </w:p>
  <w:p w:rsidR="00502750" w:rsidRDefault="00502750" w:rsidP="00D055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69" w:rsidRDefault="006F2869" w:rsidP="000A0BA7">
      <w:r>
        <w:separator/>
      </w:r>
    </w:p>
  </w:footnote>
  <w:footnote w:type="continuationSeparator" w:id="0">
    <w:p w:rsidR="006F2869" w:rsidRDefault="006F2869" w:rsidP="000A0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96460"/>
    <w:multiLevelType w:val="hybridMultilevel"/>
    <w:tmpl w:val="251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3"/>
  </w:num>
  <w:num w:numId="6">
    <w:abstractNumId w:val="7"/>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03"/>
    <w:rsid w:val="00004416"/>
    <w:rsid w:val="0000639A"/>
    <w:rsid w:val="000215E0"/>
    <w:rsid w:val="0002668C"/>
    <w:rsid w:val="00030989"/>
    <w:rsid w:val="00032C09"/>
    <w:rsid w:val="0003468C"/>
    <w:rsid w:val="00062C88"/>
    <w:rsid w:val="0008063E"/>
    <w:rsid w:val="000A0BA7"/>
    <w:rsid w:val="000A14AE"/>
    <w:rsid w:val="000A5E74"/>
    <w:rsid w:val="000B6883"/>
    <w:rsid w:val="000E27BF"/>
    <w:rsid w:val="000F0FBC"/>
    <w:rsid w:val="00135BE8"/>
    <w:rsid w:val="001C3CAE"/>
    <w:rsid w:val="001F1317"/>
    <w:rsid w:val="00257AB6"/>
    <w:rsid w:val="00292074"/>
    <w:rsid w:val="002A1F60"/>
    <w:rsid w:val="002A35C9"/>
    <w:rsid w:val="002E080E"/>
    <w:rsid w:val="002F27BD"/>
    <w:rsid w:val="0030501E"/>
    <w:rsid w:val="00327749"/>
    <w:rsid w:val="00355498"/>
    <w:rsid w:val="0035584D"/>
    <w:rsid w:val="00383CF1"/>
    <w:rsid w:val="00384A68"/>
    <w:rsid w:val="003B1606"/>
    <w:rsid w:val="003C6C2F"/>
    <w:rsid w:val="003D1757"/>
    <w:rsid w:val="003E09FB"/>
    <w:rsid w:val="003F43A7"/>
    <w:rsid w:val="00440586"/>
    <w:rsid w:val="0046381A"/>
    <w:rsid w:val="0047234C"/>
    <w:rsid w:val="00501F0B"/>
    <w:rsid w:val="005024FC"/>
    <w:rsid w:val="00502750"/>
    <w:rsid w:val="00504196"/>
    <w:rsid w:val="00507963"/>
    <w:rsid w:val="00526121"/>
    <w:rsid w:val="00534D32"/>
    <w:rsid w:val="00544F09"/>
    <w:rsid w:val="005657D7"/>
    <w:rsid w:val="005803AC"/>
    <w:rsid w:val="00592001"/>
    <w:rsid w:val="005946D1"/>
    <w:rsid w:val="005A438A"/>
    <w:rsid w:val="005F5403"/>
    <w:rsid w:val="00601741"/>
    <w:rsid w:val="00605417"/>
    <w:rsid w:val="00623A98"/>
    <w:rsid w:val="0068754B"/>
    <w:rsid w:val="006B2159"/>
    <w:rsid w:val="006F2869"/>
    <w:rsid w:val="00704700"/>
    <w:rsid w:val="00720FD6"/>
    <w:rsid w:val="007463B2"/>
    <w:rsid w:val="007B6E62"/>
    <w:rsid w:val="007C5262"/>
    <w:rsid w:val="007D5D87"/>
    <w:rsid w:val="008277C8"/>
    <w:rsid w:val="00855F04"/>
    <w:rsid w:val="00862A53"/>
    <w:rsid w:val="008845B1"/>
    <w:rsid w:val="00890577"/>
    <w:rsid w:val="00890A7D"/>
    <w:rsid w:val="008B1E77"/>
    <w:rsid w:val="008B5E03"/>
    <w:rsid w:val="008D5AAF"/>
    <w:rsid w:val="008F01C1"/>
    <w:rsid w:val="0091701D"/>
    <w:rsid w:val="00926608"/>
    <w:rsid w:val="0096618A"/>
    <w:rsid w:val="00992A8C"/>
    <w:rsid w:val="009B1F29"/>
    <w:rsid w:val="009E11A4"/>
    <w:rsid w:val="00A022BF"/>
    <w:rsid w:val="00A06820"/>
    <w:rsid w:val="00A1059E"/>
    <w:rsid w:val="00A13032"/>
    <w:rsid w:val="00A2351B"/>
    <w:rsid w:val="00A37CD4"/>
    <w:rsid w:val="00A437E7"/>
    <w:rsid w:val="00A5349C"/>
    <w:rsid w:val="00A552C2"/>
    <w:rsid w:val="00A92186"/>
    <w:rsid w:val="00AB57CB"/>
    <w:rsid w:val="00AE28C7"/>
    <w:rsid w:val="00AF308A"/>
    <w:rsid w:val="00B174E1"/>
    <w:rsid w:val="00B42991"/>
    <w:rsid w:val="00B70CF2"/>
    <w:rsid w:val="00B76FA7"/>
    <w:rsid w:val="00B86C82"/>
    <w:rsid w:val="00B92CB4"/>
    <w:rsid w:val="00BA2E3C"/>
    <w:rsid w:val="00BA515B"/>
    <w:rsid w:val="00BC402E"/>
    <w:rsid w:val="00BF6755"/>
    <w:rsid w:val="00C4494C"/>
    <w:rsid w:val="00C66B05"/>
    <w:rsid w:val="00C716EC"/>
    <w:rsid w:val="00C7466D"/>
    <w:rsid w:val="00C81724"/>
    <w:rsid w:val="00C82BD4"/>
    <w:rsid w:val="00CA0945"/>
    <w:rsid w:val="00CB3C32"/>
    <w:rsid w:val="00CC49B4"/>
    <w:rsid w:val="00D05511"/>
    <w:rsid w:val="00D069ED"/>
    <w:rsid w:val="00D671C9"/>
    <w:rsid w:val="00D748B6"/>
    <w:rsid w:val="00D9525E"/>
    <w:rsid w:val="00DB58E7"/>
    <w:rsid w:val="00DE16EF"/>
    <w:rsid w:val="00DE5242"/>
    <w:rsid w:val="00DF2FAC"/>
    <w:rsid w:val="00DF7AF5"/>
    <w:rsid w:val="00E113D9"/>
    <w:rsid w:val="00E11FCB"/>
    <w:rsid w:val="00E208E5"/>
    <w:rsid w:val="00E22E81"/>
    <w:rsid w:val="00E50EFD"/>
    <w:rsid w:val="00E9549D"/>
    <w:rsid w:val="00ED57BC"/>
    <w:rsid w:val="00EF2632"/>
    <w:rsid w:val="00F03AEA"/>
    <w:rsid w:val="00F07532"/>
    <w:rsid w:val="00F15944"/>
    <w:rsid w:val="00F65943"/>
    <w:rsid w:val="00F66C86"/>
    <w:rsid w:val="00F70C09"/>
    <w:rsid w:val="00FA3D64"/>
    <w:rsid w:val="00FA6F96"/>
    <w:rsid w:val="00FB3B1B"/>
    <w:rsid w:val="00FD03B3"/>
    <w:rsid w:val="00FE1410"/>
    <w:rsid w:val="00FE4566"/>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420E2-FBD3-4AAB-81FB-CD40397C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character" w:styleId="UnresolvedMention">
    <w:name w:val="Unresolved Mention"/>
    <w:basedOn w:val="DefaultParagraphFont"/>
    <w:uiPriority w:val="99"/>
    <w:semiHidden/>
    <w:unhideWhenUsed/>
    <w:rsid w:val="00292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ksolutions.com/Documents/Staff/EEO/Equal-Opportunity-Standards-and-Guidelines.docx" TargetMode="External"/><Relationship Id="rId4" Type="http://schemas.openxmlformats.org/officeDocument/2006/relationships/settings" Target="settings.xml"/><Relationship Id="rId9" Type="http://schemas.openxmlformats.org/officeDocument/2006/relationships/hyperlink" Target="http://www.wrksolutions.com/staff-resources/issuances/submit-a-question-issuance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C15D2-B0BE-43ED-A293-9811DA9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15-09 - Equal Opportunity Standards and Guidelines</vt:lpstr>
    </vt:vector>
  </TitlesOfParts>
  <Company>Houston-Galveston Area Council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 17-13 Equal Opportunity Standards and Guidelines</dc:title>
  <dc:subject>WS 15-06 Education and Training Vendor Network</dc:subject>
  <dc:creator>fortune</dc:creator>
  <cp:keywords>17-13 17-13 Equal Opportunity Standards and Guidelines</cp:keywords>
  <dc:description>17-13 17-13 Equal Opportunity Standards and Guidelines</dc:description>
  <cp:lastModifiedBy>Nguyen, Dat</cp:lastModifiedBy>
  <cp:revision>3</cp:revision>
  <cp:lastPrinted>2015-03-26T18:08:00Z</cp:lastPrinted>
  <dcterms:created xsi:type="dcterms:W3CDTF">2017-09-11T15:10:00Z</dcterms:created>
  <dcterms:modified xsi:type="dcterms:W3CDTF">2017-09-12T14:26:00Z</dcterms:modified>
  <cp:category>Issuances</cp:category>
</cp:coreProperties>
</file>