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BD1" w:rsidRDefault="00A55BD1" w:rsidP="00A55BD1">
      <w:pPr>
        <w:spacing w:after="0" w:line="240" w:lineRule="auto"/>
        <w:rPr>
          <w:noProof/>
          <w:sz w:val="32"/>
          <w:szCs w:val="32"/>
        </w:rPr>
      </w:pPr>
    </w:p>
    <w:p w:rsidR="00A55BD1" w:rsidRDefault="00A55BD1" w:rsidP="00A55BD1">
      <w:pPr>
        <w:spacing w:after="0" w:line="240" w:lineRule="auto"/>
        <w:jc w:val="center"/>
        <w:rPr>
          <w:noProof/>
          <w:sz w:val="32"/>
          <w:szCs w:val="32"/>
        </w:rPr>
      </w:pPr>
      <w:r>
        <w:rPr>
          <w:noProof/>
          <w:sz w:val="32"/>
          <w:szCs w:val="32"/>
        </w:rPr>
        <w:drawing>
          <wp:inline distT="0" distB="0" distL="0" distR="0">
            <wp:extent cx="4666044" cy="1228725"/>
            <wp:effectExtent l="19050" t="0" r="1206" b="0"/>
            <wp:docPr id="10" name="Picture 9" descr="WS-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logo-color.jpg"/>
                    <pic:cNvPicPr/>
                  </pic:nvPicPr>
                  <pic:blipFill>
                    <a:blip r:embed="rId8" cstate="print"/>
                    <a:stretch>
                      <a:fillRect/>
                    </a:stretch>
                  </pic:blipFill>
                  <pic:spPr>
                    <a:xfrm>
                      <a:off x="0" y="0"/>
                      <a:ext cx="4666044" cy="1228725"/>
                    </a:xfrm>
                    <a:prstGeom prst="rect">
                      <a:avLst/>
                    </a:prstGeom>
                  </pic:spPr>
                </pic:pic>
              </a:graphicData>
            </a:graphic>
          </wp:inline>
        </w:drawing>
      </w:r>
    </w:p>
    <w:p w:rsidR="00A55BD1" w:rsidRPr="00575367" w:rsidRDefault="00A55BD1" w:rsidP="00A55BD1">
      <w:pPr>
        <w:spacing w:after="0" w:line="240" w:lineRule="auto"/>
        <w:jc w:val="center"/>
        <w:rPr>
          <w:noProof/>
          <w:color w:val="E68E1B"/>
          <w:sz w:val="32"/>
          <w:szCs w:val="32"/>
        </w:rPr>
      </w:pPr>
    </w:p>
    <w:p w:rsidR="00575367" w:rsidRPr="00575367" w:rsidRDefault="00575367" w:rsidP="00575367">
      <w:pPr>
        <w:rPr>
          <w:b/>
          <w:color w:val="E68E1B"/>
          <w:sz w:val="40"/>
          <w:szCs w:val="40"/>
        </w:rPr>
      </w:pPr>
    </w:p>
    <w:p w:rsidR="00A55BD1" w:rsidRDefault="00A55BD1" w:rsidP="00A55BD1">
      <w:pPr>
        <w:spacing w:after="0" w:line="240" w:lineRule="auto"/>
        <w:jc w:val="center"/>
        <w:rPr>
          <w:noProof/>
          <w:sz w:val="32"/>
          <w:szCs w:val="32"/>
        </w:rPr>
      </w:pPr>
    </w:p>
    <w:p w:rsidR="00A55BD1" w:rsidRDefault="00A55BD1" w:rsidP="00A55BD1">
      <w:pPr>
        <w:spacing w:after="0" w:line="240" w:lineRule="auto"/>
        <w:jc w:val="center"/>
        <w:rPr>
          <w:noProof/>
          <w:sz w:val="32"/>
          <w:szCs w:val="32"/>
        </w:rPr>
      </w:pPr>
    </w:p>
    <w:p w:rsidR="007B7838" w:rsidRDefault="007B7838" w:rsidP="00A55BD1">
      <w:pPr>
        <w:spacing w:after="0" w:line="240" w:lineRule="auto"/>
        <w:jc w:val="center"/>
        <w:rPr>
          <w:noProof/>
          <w:sz w:val="32"/>
          <w:szCs w:val="32"/>
        </w:rPr>
      </w:pPr>
    </w:p>
    <w:p w:rsidR="007B7838" w:rsidRDefault="007B7838" w:rsidP="00A55BD1">
      <w:pPr>
        <w:spacing w:after="0" w:line="240" w:lineRule="auto"/>
        <w:jc w:val="center"/>
        <w:rPr>
          <w:noProof/>
          <w:sz w:val="32"/>
          <w:szCs w:val="32"/>
        </w:rPr>
      </w:pPr>
    </w:p>
    <w:p w:rsidR="00302AC6" w:rsidRPr="00AC07A0" w:rsidRDefault="003D2F0C" w:rsidP="00A55BD1">
      <w:pPr>
        <w:spacing w:after="0" w:line="240" w:lineRule="auto"/>
        <w:jc w:val="center"/>
        <w:rPr>
          <w:noProof/>
          <w:sz w:val="44"/>
          <w:szCs w:val="44"/>
        </w:rPr>
      </w:pPr>
      <w:bookmarkStart w:id="0" w:name="OLE_LINK1"/>
      <w:bookmarkStart w:id="1" w:name="OLE_LINK2"/>
      <w:bookmarkStart w:id="2" w:name="OLE_LINK3"/>
      <w:r w:rsidRPr="00AC07A0">
        <w:rPr>
          <w:noProof/>
          <w:sz w:val="44"/>
          <w:szCs w:val="44"/>
        </w:rPr>
        <w:t xml:space="preserve">Workforce </w:t>
      </w:r>
      <w:r w:rsidR="00F31C3C">
        <w:rPr>
          <w:noProof/>
          <w:sz w:val="44"/>
          <w:szCs w:val="44"/>
        </w:rPr>
        <w:t>Demands</w:t>
      </w:r>
      <w:r w:rsidRPr="00AC07A0">
        <w:rPr>
          <w:noProof/>
          <w:sz w:val="44"/>
          <w:szCs w:val="44"/>
        </w:rPr>
        <w:t xml:space="preserve"> in Professional, Scientific, and Techn</w:t>
      </w:r>
      <w:r w:rsidR="00157B60">
        <w:rPr>
          <w:noProof/>
          <w:sz w:val="44"/>
          <w:szCs w:val="44"/>
        </w:rPr>
        <w:t>i</w:t>
      </w:r>
      <w:r w:rsidRPr="00AC07A0">
        <w:rPr>
          <w:noProof/>
          <w:sz w:val="44"/>
          <w:szCs w:val="44"/>
        </w:rPr>
        <w:t>cal Services</w:t>
      </w:r>
    </w:p>
    <w:bookmarkEnd w:id="0"/>
    <w:bookmarkEnd w:id="1"/>
    <w:bookmarkEnd w:id="2"/>
    <w:p w:rsidR="00302AC6" w:rsidRDefault="00302AC6" w:rsidP="00A55BD1">
      <w:pPr>
        <w:spacing w:after="0" w:line="240" w:lineRule="auto"/>
        <w:jc w:val="center"/>
        <w:rPr>
          <w:rFonts w:ascii="Garamond" w:hAnsi="Garamond"/>
          <w:noProof/>
          <w:sz w:val="52"/>
          <w:szCs w:val="52"/>
        </w:rPr>
      </w:pPr>
      <w:r>
        <w:rPr>
          <w:rFonts w:ascii="Garamond" w:hAnsi="Garamond"/>
          <w:noProof/>
          <w:sz w:val="52"/>
          <w:szCs w:val="52"/>
        </w:rPr>
        <w:t xml:space="preserve"> </w:t>
      </w:r>
    </w:p>
    <w:p w:rsidR="00D8044E" w:rsidRPr="00C354B4" w:rsidRDefault="00302AC6" w:rsidP="00A55BD1">
      <w:pPr>
        <w:spacing w:after="0" w:line="240" w:lineRule="auto"/>
        <w:jc w:val="center"/>
        <w:rPr>
          <w:noProof/>
          <w:sz w:val="24"/>
          <w:szCs w:val="24"/>
        </w:rPr>
      </w:pPr>
      <w:r w:rsidRPr="00C354B4">
        <w:rPr>
          <w:noProof/>
          <w:sz w:val="24"/>
          <w:szCs w:val="24"/>
        </w:rPr>
        <w:t xml:space="preserve">Prepared </w:t>
      </w:r>
      <w:r w:rsidR="0034186A">
        <w:rPr>
          <w:noProof/>
          <w:sz w:val="24"/>
          <w:szCs w:val="24"/>
        </w:rPr>
        <w:t>January 2016</w:t>
      </w:r>
    </w:p>
    <w:p w:rsidR="00A55BD1" w:rsidRPr="00C354B4" w:rsidRDefault="00A55BD1" w:rsidP="00A55BD1">
      <w:pPr>
        <w:spacing w:after="0" w:line="240" w:lineRule="auto"/>
        <w:jc w:val="center"/>
        <w:rPr>
          <w:noProof/>
          <w:sz w:val="32"/>
          <w:szCs w:val="32"/>
        </w:rPr>
      </w:pPr>
    </w:p>
    <w:p w:rsidR="00A55BD1" w:rsidRPr="00C354B4" w:rsidRDefault="00A55BD1" w:rsidP="00A55BD1">
      <w:pPr>
        <w:spacing w:after="0" w:line="240" w:lineRule="auto"/>
        <w:jc w:val="center"/>
        <w:rPr>
          <w:noProof/>
          <w:sz w:val="32"/>
          <w:szCs w:val="32"/>
        </w:rPr>
      </w:pPr>
    </w:p>
    <w:p w:rsidR="00A55BD1" w:rsidRPr="00C354B4" w:rsidRDefault="00A55BD1" w:rsidP="00A55BD1">
      <w:pPr>
        <w:spacing w:after="0" w:line="240" w:lineRule="auto"/>
        <w:jc w:val="center"/>
        <w:rPr>
          <w:noProof/>
          <w:sz w:val="32"/>
          <w:szCs w:val="32"/>
        </w:rPr>
      </w:pPr>
    </w:p>
    <w:p w:rsidR="00A55BD1" w:rsidRPr="00C354B4" w:rsidRDefault="00A55BD1" w:rsidP="00A55BD1">
      <w:pPr>
        <w:spacing w:after="0" w:line="240" w:lineRule="auto"/>
        <w:jc w:val="center"/>
        <w:rPr>
          <w:noProof/>
          <w:sz w:val="32"/>
          <w:szCs w:val="32"/>
        </w:rPr>
      </w:pPr>
    </w:p>
    <w:p w:rsidR="00DE75A0" w:rsidRPr="00C354B4" w:rsidRDefault="00DE75A0" w:rsidP="00A55BD1">
      <w:pPr>
        <w:spacing w:after="0" w:line="240" w:lineRule="auto"/>
        <w:jc w:val="center"/>
        <w:rPr>
          <w:noProof/>
          <w:sz w:val="32"/>
          <w:szCs w:val="32"/>
        </w:rPr>
      </w:pPr>
    </w:p>
    <w:p w:rsidR="0034186A" w:rsidRDefault="00382E3D" w:rsidP="00A55BD1">
      <w:pPr>
        <w:spacing w:after="0" w:line="240" w:lineRule="auto"/>
        <w:jc w:val="center"/>
        <w:rPr>
          <w:rStyle w:val="Emphasis"/>
          <w:rFonts w:cs="Arial"/>
          <w:color w:val="333333"/>
          <w:sz w:val="19"/>
          <w:szCs w:val="19"/>
        </w:rPr>
      </w:pPr>
      <w:r w:rsidRPr="00C354B4">
        <w:rPr>
          <w:rStyle w:val="Emphasis"/>
          <w:rFonts w:cs="Arial"/>
          <w:color w:val="333333"/>
          <w:sz w:val="19"/>
          <w:szCs w:val="19"/>
        </w:rPr>
        <w:t>Data Source</w:t>
      </w:r>
      <w:r w:rsidR="007D5FD9" w:rsidRPr="00C354B4">
        <w:rPr>
          <w:rStyle w:val="Emphasis"/>
          <w:rFonts w:cs="Arial"/>
          <w:color w:val="333333"/>
          <w:sz w:val="19"/>
          <w:szCs w:val="19"/>
        </w:rPr>
        <w:t>(s)</w:t>
      </w:r>
      <w:r w:rsidRPr="00C354B4">
        <w:rPr>
          <w:rStyle w:val="Emphasis"/>
          <w:rFonts w:cs="Arial"/>
          <w:color w:val="333333"/>
          <w:sz w:val="19"/>
          <w:szCs w:val="19"/>
        </w:rPr>
        <w:t xml:space="preserve">: </w:t>
      </w:r>
    </w:p>
    <w:p w:rsidR="00DE75A0" w:rsidRDefault="0034186A" w:rsidP="00A55BD1">
      <w:pPr>
        <w:spacing w:after="0" w:line="240" w:lineRule="auto"/>
        <w:jc w:val="center"/>
        <w:rPr>
          <w:rStyle w:val="Emphasis"/>
          <w:rFonts w:cs="Arial"/>
          <w:color w:val="333333"/>
          <w:sz w:val="19"/>
          <w:szCs w:val="19"/>
        </w:rPr>
      </w:pPr>
      <w:r>
        <w:rPr>
          <w:rStyle w:val="Emphasis"/>
          <w:rFonts w:cs="Arial"/>
          <w:color w:val="333333"/>
          <w:sz w:val="19"/>
          <w:szCs w:val="19"/>
        </w:rPr>
        <w:t>Bureau of Labor Statistics: Current Employment Statistics (CES) and Quarterly Census of Employment and Wages (QCEW)</w:t>
      </w:r>
    </w:p>
    <w:p w:rsidR="0034186A" w:rsidRPr="00C354B4" w:rsidRDefault="0034186A" w:rsidP="00A55BD1">
      <w:pPr>
        <w:spacing w:after="0" w:line="240" w:lineRule="auto"/>
        <w:jc w:val="center"/>
        <w:rPr>
          <w:noProof/>
          <w:sz w:val="32"/>
          <w:szCs w:val="32"/>
        </w:rPr>
      </w:pPr>
      <w:r>
        <w:rPr>
          <w:rStyle w:val="Emphasis"/>
          <w:rFonts w:cs="Arial"/>
          <w:color w:val="333333"/>
          <w:sz w:val="19"/>
          <w:szCs w:val="19"/>
        </w:rPr>
        <w:t>Census Bureau: Quarterly Workforce Indicators (QWI)</w:t>
      </w:r>
    </w:p>
    <w:p w:rsidR="00A55BD1" w:rsidRPr="00C354B4" w:rsidRDefault="00A55BD1" w:rsidP="000928F9">
      <w:pPr>
        <w:spacing w:after="0" w:line="240" w:lineRule="auto"/>
        <w:rPr>
          <w:noProof/>
          <w:sz w:val="32"/>
          <w:szCs w:val="32"/>
        </w:rPr>
      </w:pPr>
    </w:p>
    <w:p w:rsidR="007B7838" w:rsidRDefault="007B7838" w:rsidP="000928F9">
      <w:pPr>
        <w:spacing w:after="0" w:line="240" w:lineRule="auto"/>
        <w:rPr>
          <w:noProof/>
          <w:sz w:val="32"/>
          <w:szCs w:val="32"/>
        </w:rPr>
      </w:pPr>
    </w:p>
    <w:p w:rsidR="007B7838" w:rsidRDefault="007B7838" w:rsidP="000928F9">
      <w:pPr>
        <w:spacing w:after="0" w:line="240" w:lineRule="auto"/>
        <w:rPr>
          <w:noProof/>
          <w:sz w:val="32"/>
          <w:szCs w:val="32"/>
        </w:rPr>
      </w:pPr>
    </w:p>
    <w:p w:rsidR="007B7838" w:rsidRDefault="007B7838" w:rsidP="000928F9">
      <w:pPr>
        <w:spacing w:after="0" w:line="240" w:lineRule="auto"/>
        <w:rPr>
          <w:noProof/>
          <w:sz w:val="32"/>
          <w:szCs w:val="32"/>
        </w:rPr>
      </w:pPr>
    </w:p>
    <w:p w:rsidR="00C354B4" w:rsidRDefault="00C354B4" w:rsidP="000928F9">
      <w:pPr>
        <w:spacing w:after="0" w:line="240" w:lineRule="auto"/>
        <w:rPr>
          <w:noProof/>
          <w:sz w:val="32"/>
          <w:szCs w:val="32"/>
        </w:rPr>
      </w:pPr>
    </w:p>
    <w:p w:rsidR="006F0751" w:rsidRDefault="006F0751" w:rsidP="000928F9">
      <w:pPr>
        <w:spacing w:after="0" w:line="240" w:lineRule="auto"/>
        <w:rPr>
          <w:noProof/>
          <w:sz w:val="32"/>
          <w:szCs w:val="32"/>
        </w:rPr>
      </w:pPr>
    </w:p>
    <w:p w:rsidR="00A55BD1" w:rsidRPr="00C354B4" w:rsidRDefault="00A55BD1" w:rsidP="007B7838">
      <w:pPr>
        <w:pStyle w:val="BodyText2"/>
        <w:pBdr>
          <w:top w:val="single" w:sz="4" w:space="1" w:color="auto"/>
        </w:pBdr>
        <w:spacing w:line="240" w:lineRule="auto"/>
        <w:ind w:right="43"/>
        <w:jc w:val="center"/>
        <w:rPr>
          <w:rFonts w:asciiTheme="minorHAnsi" w:hAnsiTheme="minorHAnsi"/>
          <w:i/>
          <w:sz w:val="16"/>
          <w:szCs w:val="16"/>
        </w:rPr>
      </w:pPr>
      <w:r w:rsidRPr="00C354B4">
        <w:rPr>
          <w:rFonts w:asciiTheme="minorHAnsi" w:hAnsiTheme="minorHAnsi"/>
          <w:i/>
          <w:sz w:val="16"/>
          <w:szCs w:val="16"/>
        </w:rPr>
        <w:t xml:space="preserve">Workforce Solutions </w:t>
      </w:r>
      <w:r w:rsidR="007B7838" w:rsidRPr="00C354B4">
        <w:rPr>
          <w:rFonts w:asciiTheme="minorHAnsi" w:hAnsiTheme="minorHAnsi"/>
          <w:i/>
          <w:sz w:val="16"/>
          <w:szCs w:val="16"/>
        </w:rPr>
        <w:t>is an affiliate of the Gulf Coast Workforce Board, which manages a regional system that helps employers solve their workforce problems and residents build careers so both can compete in the global economy. The workforce system serves the City of Houston and the surrounding 13 Texas Gulf Coast counties including: Austin, Brazoria, Chambers, Colorado, Fort Bend, Galveston, Harris, Liberty, Matagorda, Montgomery, Walker, Waller, and Wharton.</w:t>
      </w:r>
    </w:p>
    <w:p w:rsidR="00A55BD1" w:rsidRDefault="00A55BD1" w:rsidP="00A55BD1">
      <w:pPr>
        <w:spacing w:after="0" w:line="240" w:lineRule="auto"/>
        <w:jc w:val="center"/>
        <w:rPr>
          <w:noProof/>
          <w:sz w:val="32"/>
          <w:szCs w:val="32"/>
        </w:rPr>
        <w:sectPr w:rsidR="00A55BD1" w:rsidSect="00E94B4F">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cols w:space="720"/>
          <w:titlePg/>
          <w:docGrid w:linePitch="360"/>
        </w:sectPr>
      </w:pPr>
    </w:p>
    <w:p w:rsidR="00800872" w:rsidRPr="00854577" w:rsidRDefault="007D5FD9" w:rsidP="00C37DDA">
      <w:pPr>
        <w:pStyle w:val="NoSpacing"/>
        <w:rPr>
          <w:b/>
          <w:sz w:val="32"/>
          <w:szCs w:val="32"/>
        </w:rPr>
      </w:pPr>
      <w:r w:rsidRPr="00854577">
        <w:rPr>
          <w:b/>
          <w:sz w:val="32"/>
          <w:szCs w:val="32"/>
        </w:rPr>
        <w:lastRenderedPageBreak/>
        <w:t>Overview</w:t>
      </w:r>
    </w:p>
    <w:p w:rsidR="007D5FD9" w:rsidRDefault="007D5FD9" w:rsidP="00C37DDA">
      <w:pPr>
        <w:pStyle w:val="NoSpacing"/>
      </w:pPr>
    </w:p>
    <w:p w:rsidR="007D5FD9" w:rsidRDefault="0047071A" w:rsidP="00C37DDA">
      <w:pPr>
        <w:pStyle w:val="NoSpacing"/>
      </w:pPr>
      <w:r w:rsidRPr="0047071A">
        <w:t>Professional, Scientific</w:t>
      </w:r>
      <w:r w:rsidR="00A91CF2">
        <w:t>,</w:t>
      </w:r>
      <w:r w:rsidRPr="0047071A">
        <w:t xml:space="preserve"> and Technical Services</w:t>
      </w:r>
      <w:r w:rsidR="00A91CF2">
        <w:t xml:space="preserve">, </w:t>
      </w:r>
      <w:r w:rsidR="00F77F60">
        <w:t>often referred</w:t>
      </w:r>
      <w:r w:rsidR="00A91CF2">
        <w:t xml:space="preserve"> to</w:t>
      </w:r>
      <w:r w:rsidR="00F77F60">
        <w:t xml:space="preserve"> as simply</w:t>
      </w:r>
      <w:r w:rsidR="00C30F01">
        <w:t xml:space="preserve"> Professional and Technical Services,</w:t>
      </w:r>
      <w:r>
        <w:t xml:space="preserve"> is one of </w:t>
      </w:r>
      <w:r w:rsidR="00C30F01">
        <w:t>20</w:t>
      </w:r>
      <w:r>
        <w:t xml:space="preserve"> </w:t>
      </w:r>
      <w:r w:rsidR="00C30F01">
        <w:t xml:space="preserve"> major </w:t>
      </w:r>
      <w:r w:rsidR="00A91CF2">
        <w:t xml:space="preserve">economic </w:t>
      </w:r>
      <w:r>
        <w:t>sectors</w:t>
      </w:r>
      <w:r w:rsidR="00571D40">
        <w:t xml:space="preserve"> </w:t>
      </w:r>
      <w:r>
        <w:t>that includes a range of high</w:t>
      </w:r>
      <w:r w:rsidR="00571D40">
        <w:t xml:space="preserve"> value-added services such as legal</w:t>
      </w:r>
      <w:r w:rsidR="0034186A">
        <w:t xml:space="preserve"> services</w:t>
      </w:r>
      <w:r w:rsidR="00571D40">
        <w:t>, accounting, architecture and</w:t>
      </w:r>
      <w:r w:rsidRPr="0047071A">
        <w:t xml:space="preserve"> engineering,</w:t>
      </w:r>
      <w:r w:rsidR="00571D40">
        <w:t xml:space="preserve"> </w:t>
      </w:r>
      <w:r w:rsidRPr="0047071A">
        <w:t>computer systems</w:t>
      </w:r>
      <w:r w:rsidR="00571D40">
        <w:t xml:space="preserve"> design,</w:t>
      </w:r>
      <w:r w:rsidRPr="0047071A">
        <w:t xml:space="preserve"> </w:t>
      </w:r>
      <w:r w:rsidR="00571D40">
        <w:t>advertising, and others</w:t>
      </w:r>
      <w:r w:rsidRPr="0047071A">
        <w:t>.</w:t>
      </w:r>
      <w:r w:rsidR="000A7AE6">
        <w:t xml:space="preserve"> With few exceptions</w:t>
      </w:r>
      <w:r w:rsidR="00571D40">
        <w:t xml:space="preserve"> businesses and organizations that fall within this sector specialize in activities that require a high</w:t>
      </w:r>
      <w:r w:rsidR="00450D81">
        <w:t xml:space="preserve"> degree expertise and training.</w:t>
      </w:r>
      <w:r w:rsidR="00B0439E">
        <w:t xml:space="preserve"> As </w:t>
      </w:r>
      <w:r w:rsidR="00F77F60">
        <w:t xml:space="preserve">a </w:t>
      </w:r>
      <w:r w:rsidR="00B0439E">
        <w:t>result,</w:t>
      </w:r>
      <w:r w:rsidR="00450D81">
        <w:t xml:space="preserve"> workers</w:t>
      </w:r>
      <w:r w:rsidR="0064717D">
        <w:t xml:space="preserve"> </w:t>
      </w:r>
      <w:r w:rsidR="00450D81">
        <w:t>often have</w:t>
      </w:r>
      <w:r w:rsidR="00B0439E">
        <w:t xml:space="preserve"> relatively high levels of education including but not limited to specialized degrees </w:t>
      </w:r>
      <w:r w:rsidR="00A91CF2">
        <w:t>as well as</w:t>
      </w:r>
      <w:r w:rsidR="00B0439E">
        <w:t xml:space="preserve"> licenses issued by regulatory entities.</w:t>
      </w:r>
      <w:r w:rsidR="000A7AE6">
        <w:t xml:space="preserve"> This </w:t>
      </w:r>
      <w:r w:rsidR="0034186A">
        <w:t xml:space="preserve">frequently </w:t>
      </w:r>
      <w:r w:rsidR="000A7AE6">
        <w:t xml:space="preserve">translates into strong growth prospects and high wages </w:t>
      </w:r>
      <w:r w:rsidR="00F77F60">
        <w:t xml:space="preserve">making it a long </w:t>
      </w:r>
      <w:r w:rsidR="000A7AE6">
        <w:t>targeted sector by the Gulf Coast Workforce Board.</w:t>
      </w:r>
      <w:r w:rsidR="00B0439E">
        <w:t xml:space="preserve"> </w:t>
      </w:r>
      <w:r w:rsidR="006F0751">
        <w:t xml:space="preserve">This report examines </w:t>
      </w:r>
      <w:r w:rsidR="00A91CF2">
        <w:t xml:space="preserve">past, </w:t>
      </w:r>
      <w:r w:rsidR="000A7AE6">
        <w:t>present</w:t>
      </w:r>
      <w:r w:rsidR="00A91CF2">
        <w:t xml:space="preserve">, and future </w:t>
      </w:r>
      <w:r w:rsidR="006F0751">
        <w:t xml:space="preserve">trends among the industries and occupations within </w:t>
      </w:r>
      <w:r w:rsidR="000A7AE6">
        <w:t>this sector</w:t>
      </w:r>
      <w:r w:rsidR="006F0751">
        <w:t xml:space="preserve"> </w:t>
      </w:r>
      <w:r w:rsidR="000A7AE6">
        <w:t>of</w:t>
      </w:r>
      <w:r w:rsidR="006F0751">
        <w:t xml:space="preserve"> the Gulf Coast region</w:t>
      </w:r>
      <w:r w:rsidR="000A7AE6">
        <w:t>al economy</w:t>
      </w:r>
      <w:r w:rsidR="006F0751">
        <w:t>.</w:t>
      </w:r>
      <w:r w:rsidR="00450D81">
        <w:t xml:space="preserve"> </w:t>
      </w:r>
      <w:r w:rsidR="00571D40">
        <w:t xml:space="preserve"> </w:t>
      </w:r>
    </w:p>
    <w:p w:rsidR="0047071A" w:rsidRDefault="0047071A" w:rsidP="00C37DDA">
      <w:pPr>
        <w:pStyle w:val="NoSpacing"/>
      </w:pPr>
    </w:p>
    <w:p w:rsidR="00A91CF2" w:rsidRDefault="00A91CF2" w:rsidP="00A91CF2">
      <w:pPr>
        <w:pStyle w:val="NoSpacing"/>
      </w:pPr>
    </w:p>
    <w:p w:rsidR="00A91CF2" w:rsidRPr="00854577" w:rsidRDefault="00A91CF2" w:rsidP="00A91CF2">
      <w:pPr>
        <w:pStyle w:val="NoSpacing"/>
        <w:rPr>
          <w:b/>
          <w:sz w:val="28"/>
          <w:szCs w:val="28"/>
        </w:rPr>
      </w:pPr>
      <w:r w:rsidRPr="00854577">
        <w:rPr>
          <w:b/>
          <w:sz w:val="28"/>
          <w:szCs w:val="28"/>
        </w:rPr>
        <w:t>Contribution of Professional, Scientific, and Technical Services</w:t>
      </w:r>
      <w:r w:rsidR="00BC0F2B" w:rsidRPr="00854577">
        <w:rPr>
          <w:b/>
          <w:sz w:val="28"/>
          <w:szCs w:val="28"/>
        </w:rPr>
        <w:t xml:space="preserve"> to </w:t>
      </w:r>
      <w:r w:rsidR="00C42C87" w:rsidRPr="00854577">
        <w:rPr>
          <w:b/>
          <w:sz w:val="28"/>
          <w:szCs w:val="28"/>
        </w:rPr>
        <w:t xml:space="preserve">Local </w:t>
      </w:r>
      <w:r w:rsidR="00BC0F2B" w:rsidRPr="00854577">
        <w:rPr>
          <w:b/>
          <w:sz w:val="28"/>
          <w:szCs w:val="28"/>
        </w:rPr>
        <w:t>Employment</w:t>
      </w:r>
    </w:p>
    <w:p w:rsidR="00A91CF2" w:rsidRDefault="00A91CF2" w:rsidP="00A91CF2">
      <w:pPr>
        <w:pStyle w:val="NoSpacing"/>
      </w:pPr>
    </w:p>
    <w:p w:rsidR="00A91CF2" w:rsidRDefault="00A91CF2" w:rsidP="00A91CF2">
      <w:pPr>
        <w:pStyle w:val="NoSpacing"/>
      </w:pPr>
      <w:r>
        <w:t xml:space="preserve">As of the second quarter of 2015, </w:t>
      </w:r>
      <w:r w:rsidR="00C30F01">
        <w:t xml:space="preserve">there were 212, 935 jobs in </w:t>
      </w:r>
      <w:r w:rsidRPr="0047071A">
        <w:t>Professional, Scientific and Technical Services</w:t>
      </w:r>
      <w:r w:rsidR="00C30F01">
        <w:t xml:space="preserve"> comprising 8.3 percent of total private employment in the Gulf Coast region. The share of </w:t>
      </w:r>
      <w:r w:rsidR="002F534F">
        <w:t xml:space="preserve">these </w:t>
      </w:r>
      <w:r w:rsidR="00C30F01">
        <w:t>jobs rose from 7.8 percent a decade earlier indicating that this sector continues to grow in importance</w:t>
      </w:r>
      <w:r w:rsidR="00451297">
        <w:t xml:space="preserve"> </w:t>
      </w:r>
      <w:r w:rsidR="002F534F">
        <w:t>as</w:t>
      </w:r>
      <w:r w:rsidR="0034186A">
        <w:t xml:space="preserve"> a</w:t>
      </w:r>
      <w:r w:rsidR="002F534F">
        <w:t xml:space="preserve"> source of jobs</w:t>
      </w:r>
      <w:r w:rsidR="00451297">
        <w:t>. Relative to other sectors, Professional and Technical Services was the sixth-largest in terms of employment making it comparable in size to Construction</w:t>
      </w:r>
      <w:r w:rsidR="00BC0F2B">
        <w:t xml:space="preserve">. </w:t>
      </w:r>
      <w:proofErr w:type="gramStart"/>
      <w:r w:rsidR="00BC0F2B">
        <w:t>(See Chart 1</w:t>
      </w:r>
      <w:r w:rsidR="00640882">
        <w:t>.</w:t>
      </w:r>
      <w:r w:rsidR="00BC0F2B">
        <w:t>)</w:t>
      </w:r>
      <w:proofErr w:type="gramEnd"/>
    </w:p>
    <w:p w:rsidR="00A91CF2" w:rsidRDefault="00A91CF2" w:rsidP="00A91CF2">
      <w:pPr>
        <w:pStyle w:val="NoSpacing"/>
      </w:pPr>
      <w:r>
        <w:t xml:space="preserve">  </w:t>
      </w:r>
    </w:p>
    <w:p w:rsidR="0047071A" w:rsidRDefault="003E2569" w:rsidP="00E114F8">
      <w:pPr>
        <w:jc w:val="center"/>
        <w:rPr>
          <w:b/>
          <w:color w:val="E68E1B"/>
          <w:sz w:val="40"/>
          <w:szCs w:val="40"/>
        </w:rPr>
      </w:pPr>
      <w:r w:rsidRPr="003E2569">
        <w:rPr>
          <w:noProof/>
          <w:szCs w:val="40"/>
        </w:rPr>
        <w:drawing>
          <wp:inline distT="0" distB="0" distL="0" distR="0">
            <wp:extent cx="5943600" cy="3547737"/>
            <wp:effectExtent l="57150" t="19050" r="114300" b="90813"/>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5943600" cy="3547737"/>
                    </a:xfrm>
                    <a:prstGeom prst="rect">
                      <a:avLst/>
                    </a:prstGeom>
                    <a:noFill/>
                    <a:ln w="9525">
                      <a:solidFill>
                        <a:schemeClr val="tx2"/>
                      </a:solidFill>
                      <a:miter lim="800000"/>
                      <a:headEnd/>
                      <a:tailEnd/>
                    </a:ln>
                    <a:effectLst>
                      <a:outerShdw blurRad="50800" dist="50800" dir="2700000" algn="tl" rotWithShape="0">
                        <a:prstClr val="black">
                          <a:alpha val="55000"/>
                        </a:prstClr>
                      </a:outerShdw>
                    </a:effectLst>
                  </pic:spPr>
                </pic:pic>
              </a:graphicData>
            </a:graphic>
          </wp:inline>
        </w:drawing>
      </w:r>
    </w:p>
    <w:p w:rsidR="00F77F60" w:rsidRDefault="00F77F60" w:rsidP="00BC0F2B">
      <w:pPr>
        <w:pStyle w:val="NoSpacing"/>
        <w:rPr>
          <w:b/>
          <w:sz w:val="28"/>
          <w:szCs w:val="28"/>
        </w:rPr>
      </w:pPr>
    </w:p>
    <w:p w:rsidR="00BC0F2B" w:rsidRPr="00854577" w:rsidRDefault="00BC0F2B" w:rsidP="00BC0F2B">
      <w:pPr>
        <w:pStyle w:val="NoSpacing"/>
        <w:rPr>
          <w:b/>
          <w:sz w:val="28"/>
          <w:szCs w:val="28"/>
        </w:rPr>
      </w:pPr>
      <w:r w:rsidRPr="00854577">
        <w:rPr>
          <w:b/>
          <w:sz w:val="28"/>
          <w:szCs w:val="28"/>
        </w:rPr>
        <w:lastRenderedPageBreak/>
        <w:t xml:space="preserve">Major Industries within Professional, Scientific, and Technical Services </w:t>
      </w:r>
    </w:p>
    <w:p w:rsidR="00F77F60" w:rsidRDefault="00F77F60" w:rsidP="00BC0F2B"/>
    <w:p w:rsidR="00BC0F2B" w:rsidRDefault="00BC0F2B" w:rsidP="00BC0F2B">
      <w:r>
        <w:t xml:space="preserve">Within Professional and Technical Services there are </w:t>
      </w:r>
      <w:r w:rsidR="007F78D8">
        <w:t>nine</w:t>
      </w:r>
      <w:r>
        <w:t xml:space="preserve"> major industries:</w:t>
      </w:r>
    </w:p>
    <w:p w:rsidR="00BC0F2B" w:rsidRPr="00BC0F2B" w:rsidRDefault="00BC0F2B" w:rsidP="00BC0F2B">
      <w:pPr>
        <w:pStyle w:val="NoSpacing"/>
        <w:numPr>
          <w:ilvl w:val="0"/>
          <w:numId w:val="16"/>
        </w:numPr>
      </w:pPr>
      <w:r w:rsidRPr="00BC0F2B">
        <w:t xml:space="preserve">Legal </w:t>
      </w:r>
    </w:p>
    <w:p w:rsidR="00BC0F2B" w:rsidRPr="00BC0F2B" w:rsidRDefault="00BC0F2B" w:rsidP="00BC0F2B">
      <w:pPr>
        <w:pStyle w:val="NoSpacing"/>
        <w:numPr>
          <w:ilvl w:val="0"/>
          <w:numId w:val="16"/>
        </w:numPr>
      </w:pPr>
      <w:r w:rsidRPr="00BC0F2B">
        <w:t>Accounting and Bookkeeping</w:t>
      </w:r>
    </w:p>
    <w:p w:rsidR="00BC0F2B" w:rsidRPr="00BC0F2B" w:rsidRDefault="00BC0F2B" w:rsidP="00BC0F2B">
      <w:pPr>
        <w:pStyle w:val="NoSpacing"/>
        <w:numPr>
          <w:ilvl w:val="0"/>
          <w:numId w:val="16"/>
        </w:numPr>
      </w:pPr>
      <w:r w:rsidRPr="00BC0F2B">
        <w:t>Architectural and Engineering</w:t>
      </w:r>
      <w:r w:rsidR="003E2569">
        <w:t>*</w:t>
      </w:r>
    </w:p>
    <w:p w:rsidR="00BC0F2B" w:rsidRPr="00BC0F2B" w:rsidRDefault="00BC0F2B" w:rsidP="00BC0F2B">
      <w:pPr>
        <w:pStyle w:val="NoSpacing"/>
        <w:numPr>
          <w:ilvl w:val="0"/>
          <w:numId w:val="16"/>
        </w:numPr>
      </w:pPr>
      <w:r w:rsidRPr="00BC0F2B">
        <w:t>Specialized Design</w:t>
      </w:r>
    </w:p>
    <w:p w:rsidR="00BC0F2B" w:rsidRPr="00BC0F2B" w:rsidRDefault="00BC0F2B" w:rsidP="00BC0F2B">
      <w:pPr>
        <w:pStyle w:val="NoSpacing"/>
        <w:numPr>
          <w:ilvl w:val="0"/>
          <w:numId w:val="16"/>
        </w:numPr>
      </w:pPr>
      <w:r w:rsidRPr="00BC0F2B">
        <w:t>Computer Systems Design and Related</w:t>
      </w:r>
      <w:r w:rsidR="003E2569">
        <w:t>*</w:t>
      </w:r>
    </w:p>
    <w:p w:rsidR="00BC0F2B" w:rsidRPr="00BC0F2B" w:rsidRDefault="00BC0F2B" w:rsidP="00BC0F2B">
      <w:pPr>
        <w:pStyle w:val="NoSpacing"/>
        <w:numPr>
          <w:ilvl w:val="0"/>
          <w:numId w:val="16"/>
        </w:numPr>
      </w:pPr>
      <w:r w:rsidRPr="00BC0F2B">
        <w:t>Management</w:t>
      </w:r>
      <w:r w:rsidR="003E2569">
        <w:t>, Scientific,</w:t>
      </w:r>
      <w:r w:rsidRPr="00BC0F2B">
        <w:t xml:space="preserve"> and Technical Consulting</w:t>
      </w:r>
      <w:r w:rsidR="003E2569">
        <w:t>*</w:t>
      </w:r>
    </w:p>
    <w:p w:rsidR="00BC0F2B" w:rsidRPr="00BC0F2B" w:rsidRDefault="00BC0F2B" w:rsidP="00BC0F2B">
      <w:pPr>
        <w:pStyle w:val="NoSpacing"/>
        <w:numPr>
          <w:ilvl w:val="0"/>
          <w:numId w:val="16"/>
        </w:numPr>
      </w:pPr>
      <w:r w:rsidRPr="00BC0F2B">
        <w:t>Scientific Research and Development</w:t>
      </w:r>
    </w:p>
    <w:p w:rsidR="00BC0F2B" w:rsidRPr="00BC0F2B" w:rsidRDefault="00BC0F2B" w:rsidP="00BC0F2B">
      <w:pPr>
        <w:pStyle w:val="NoSpacing"/>
        <w:numPr>
          <w:ilvl w:val="0"/>
          <w:numId w:val="16"/>
        </w:numPr>
      </w:pPr>
      <w:r w:rsidRPr="00BC0F2B">
        <w:t>Advertising, PR, and Related</w:t>
      </w:r>
    </w:p>
    <w:p w:rsidR="00BC0F2B" w:rsidRDefault="00BC0F2B" w:rsidP="00BC0F2B">
      <w:pPr>
        <w:pStyle w:val="NoSpacing"/>
        <w:numPr>
          <w:ilvl w:val="0"/>
          <w:numId w:val="16"/>
        </w:numPr>
      </w:pPr>
      <w:r w:rsidRPr="00BC0F2B">
        <w:t>Other Professional and Technical Services</w:t>
      </w:r>
    </w:p>
    <w:p w:rsidR="003E2569" w:rsidRDefault="003E2569" w:rsidP="003E2569">
      <w:pPr>
        <w:pStyle w:val="NoSpacing"/>
        <w:rPr>
          <w:sz w:val="16"/>
          <w:szCs w:val="16"/>
        </w:rPr>
      </w:pPr>
    </w:p>
    <w:p w:rsidR="00BC0F2B" w:rsidRPr="003E2569" w:rsidRDefault="003E2569" w:rsidP="003E2569">
      <w:pPr>
        <w:pStyle w:val="NoSpacing"/>
      </w:pPr>
      <w:r w:rsidRPr="003E2569">
        <w:t xml:space="preserve">*Denotes </w:t>
      </w:r>
      <w:r w:rsidR="00DF67E8">
        <w:t xml:space="preserve">high-skill, high-growth </w:t>
      </w:r>
      <w:r w:rsidRPr="003E2569">
        <w:t>industry targeted by</w:t>
      </w:r>
      <w:r w:rsidR="001534BA">
        <w:t xml:space="preserve"> the Gulf Coast Workforce Board</w:t>
      </w:r>
    </w:p>
    <w:p w:rsidR="003E2569" w:rsidRDefault="003E2569" w:rsidP="00BC0F2B">
      <w:pPr>
        <w:pStyle w:val="NoSpacing"/>
      </w:pPr>
    </w:p>
    <w:p w:rsidR="00E114F8" w:rsidRDefault="007F78D8" w:rsidP="00BC0F2B">
      <w:pPr>
        <w:pStyle w:val="NoSpacing"/>
      </w:pPr>
      <w:r>
        <w:t>Among these nine industries, Architectural and Engineering Services make up the plurality of jobs in Professional and Technical Services in the Gulf Coast with 34 percent</w:t>
      </w:r>
      <w:r w:rsidR="00433CB4">
        <w:t xml:space="preserve"> (71,739 jobs)</w:t>
      </w:r>
      <w:r>
        <w:t xml:space="preserve"> followed by Management and Technical Consulting (16 percent) and Computer Systems Design and Related Services (14 percent).</w:t>
      </w:r>
      <w:r w:rsidR="00606C91">
        <w:t xml:space="preserve"> </w:t>
      </w:r>
      <w:r w:rsidR="0071277A">
        <w:t>Engineering Services account</w:t>
      </w:r>
      <w:r w:rsidR="00E35295">
        <w:t xml:space="preserve"> for 70 percent</w:t>
      </w:r>
      <w:r w:rsidR="00C42C87">
        <w:t xml:space="preserve"> of jobs in</w:t>
      </w:r>
      <w:r w:rsidR="0071277A">
        <w:t xml:space="preserve"> the</w:t>
      </w:r>
      <w:r w:rsidR="00E35295">
        <w:t xml:space="preserve"> Architectural and Engineering category and</w:t>
      </w:r>
      <w:r w:rsidR="00C42C87">
        <w:t xml:space="preserve"> the</w:t>
      </w:r>
      <w:r w:rsidR="00E35295">
        <w:t xml:space="preserve"> largest employers in this category </w:t>
      </w:r>
      <w:r w:rsidR="00C42C87">
        <w:t xml:space="preserve">are </w:t>
      </w:r>
      <w:r w:rsidR="00E35295">
        <w:t>overwhelming</w:t>
      </w:r>
      <w:r w:rsidR="00C42C87">
        <w:t>ly</w:t>
      </w:r>
      <w:r w:rsidR="00E35295">
        <w:t xml:space="preserve"> providers of services to energy compani</w:t>
      </w:r>
      <w:r w:rsidR="00606C91">
        <w:t xml:space="preserve">es in the region. </w:t>
      </w:r>
      <w:proofErr w:type="gramStart"/>
      <w:r w:rsidR="00606C91">
        <w:t>(See Chart 2</w:t>
      </w:r>
      <w:r w:rsidR="00E114F8">
        <w:t>.</w:t>
      </w:r>
      <w:r w:rsidR="00C42C87">
        <w:t>)</w:t>
      </w:r>
      <w:proofErr w:type="gramEnd"/>
    </w:p>
    <w:p w:rsidR="007F78D8" w:rsidRDefault="00E35295" w:rsidP="00BC0F2B">
      <w:pPr>
        <w:pStyle w:val="NoSpacing"/>
      </w:pPr>
      <w:r>
        <w:t xml:space="preserve"> </w:t>
      </w:r>
    </w:p>
    <w:p w:rsidR="007F78D8" w:rsidRDefault="007F78D8" w:rsidP="00BC0F2B">
      <w:pPr>
        <w:pStyle w:val="NoSpacing"/>
      </w:pPr>
    </w:p>
    <w:p w:rsidR="00BC0F2B" w:rsidRDefault="00E233C6" w:rsidP="004900A6">
      <w:pPr>
        <w:pStyle w:val="NoSpacing"/>
        <w:jc w:val="center"/>
      </w:pPr>
      <w:r w:rsidRPr="00E233C6">
        <w:rPr>
          <w:noProof/>
        </w:rPr>
        <w:drawing>
          <wp:inline distT="0" distB="0" distL="0" distR="0">
            <wp:extent cx="5943600" cy="3575326"/>
            <wp:effectExtent l="19050" t="0" r="0" b="0"/>
            <wp:docPr id="6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srcRect/>
                    <a:stretch>
                      <a:fillRect/>
                    </a:stretch>
                  </pic:blipFill>
                  <pic:spPr bwMode="auto">
                    <a:xfrm>
                      <a:off x="0" y="0"/>
                      <a:ext cx="5943600" cy="3575326"/>
                    </a:xfrm>
                    <a:prstGeom prst="rect">
                      <a:avLst/>
                    </a:prstGeom>
                    <a:noFill/>
                    <a:ln w="9525">
                      <a:noFill/>
                      <a:miter lim="800000"/>
                      <a:headEnd/>
                      <a:tailEnd/>
                    </a:ln>
                  </pic:spPr>
                </pic:pic>
              </a:graphicData>
            </a:graphic>
          </wp:inline>
        </w:drawing>
      </w:r>
    </w:p>
    <w:p w:rsidR="00C42C87" w:rsidRPr="00E233C6" w:rsidRDefault="00E233C6" w:rsidP="00BC0F2B">
      <w:pPr>
        <w:pStyle w:val="NoSpacing"/>
        <w:rPr>
          <w:sz w:val="16"/>
          <w:szCs w:val="16"/>
        </w:rPr>
      </w:pPr>
      <w:r w:rsidRPr="00E233C6">
        <w:rPr>
          <w:sz w:val="16"/>
          <w:szCs w:val="16"/>
        </w:rPr>
        <w:t>*Denotes high-skill, high-growth industry targeted by the Gulf Coast Workforce Board</w:t>
      </w:r>
    </w:p>
    <w:p w:rsidR="00413D5E" w:rsidRPr="00854577" w:rsidRDefault="003E05AE" w:rsidP="00413D5E">
      <w:pPr>
        <w:pStyle w:val="NoSpacing"/>
        <w:rPr>
          <w:b/>
          <w:sz w:val="28"/>
          <w:szCs w:val="28"/>
        </w:rPr>
      </w:pPr>
      <w:r>
        <w:rPr>
          <w:b/>
          <w:sz w:val="28"/>
          <w:szCs w:val="28"/>
        </w:rPr>
        <w:lastRenderedPageBreak/>
        <w:t xml:space="preserve">Recent </w:t>
      </w:r>
      <w:r w:rsidR="00413D5E">
        <w:rPr>
          <w:b/>
          <w:sz w:val="28"/>
          <w:szCs w:val="28"/>
        </w:rPr>
        <w:t>Employment Trends in Professional and Technical Services vis-à-vis Oil Prices</w:t>
      </w:r>
    </w:p>
    <w:p w:rsidR="00413D5E" w:rsidRDefault="00413D5E" w:rsidP="00BC0F2B">
      <w:pPr>
        <w:pStyle w:val="NoSpacing"/>
      </w:pPr>
    </w:p>
    <w:p w:rsidR="004900A6" w:rsidRDefault="00E32D69" w:rsidP="00BC0F2B">
      <w:pPr>
        <w:pStyle w:val="NoSpacing"/>
      </w:pPr>
      <w:r>
        <w:t xml:space="preserve">As a result of its </w:t>
      </w:r>
      <w:r w:rsidR="009D2F1F">
        <w:t>relationship</w:t>
      </w:r>
      <w:r>
        <w:t xml:space="preserve"> to </w:t>
      </w:r>
      <w:r w:rsidR="009D2F1F">
        <w:t xml:space="preserve">the </w:t>
      </w:r>
      <w:r>
        <w:t>oil and gas</w:t>
      </w:r>
      <w:r w:rsidR="009D2F1F">
        <w:t xml:space="preserve"> industry</w:t>
      </w:r>
      <w:r>
        <w:t xml:space="preserve"> by way of Architectural and Engineering</w:t>
      </w:r>
      <w:r w:rsidR="00B9775A">
        <w:t xml:space="preserve"> Services</w:t>
      </w:r>
      <w:r>
        <w:t xml:space="preserve"> and to a lesser extent Management and Technical Consulting, the fortunes of</w:t>
      </w:r>
      <w:r w:rsidR="009D2F1F">
        <w:t xml:space="preserve"> the overall</w:t>
      </w:r>
      <w:r>
        <w:t xml:space="preserve"> Professional and Technical Services</w:t>
      </w:r>
      <w:r w:rsidR="009D2F1F">
        <w:t xml:space="preserve"> sector</w:t>
      </w:r>
      <w:r>
        <w:t xml:space="preserve"> have followed</w:t>
      </w:r>
      <w:r w:rsidR="007818F1">
        <w:t xml:space="preserve"> the trajectory of oil prices since early 2015. </w:t>
      </w:r>
      <w:r>
        <w:t xml:space="preserve"> </w:t>
      </w:r>
      <w:r w:rsidR="007818F1">
        <w:t xml:space="preserve">This </w:t>
      </w:r>
      <w:r w:rsidR="009D2F1F">
        <w:t>has been</w:t>
      </w:r>
      <w:r>
        <w:t xml:space="preserve"> reflected in </w:t>
      </w:r>
      <w:r w:rsidR="00FE2749">
        <w:t>the</w:t>
      </w:r>
      <w:r w:rsidR="00B9775A">
        <w:t xml:space="preserve"> dramatic</w:t>
      </w:r>
      <w:r w:rsidR="00FE2749">
        <w:t xml:space="preserve"> rate of</w:t>
      </w:r>
      <w:r w:rsidR="00B9775A">
        <w:t xml:space="preserve"> change in</w:t>
      </w:r>
      <w:r w:rsidR="00FE2749">
        <w:t xml:space="preserve"> job growth, which was</w:t>
      </w:r>
      <w:r w:rsidR="0083134E">
        <w:t xml:space="preserve"> as high as</w:t>
      </w:r>
      <w:r w:rsidR="00FE2749">
        <w:t xml:space="preserve"> 5.1 percent</w:t>
      </w:r>
      <w:r w:rsidR="00B9775A">
        <w:t xml:space="preserve"> </w:t>
      </w:r>
      <w:r w:rsidR="009D2F1F">
        <w:t>as recently as</w:t>
      </w:r>
      <w:r w:rsidR="00B9775A">
        <w:t xml:space="preserve"> January 2015</w:t>
      </w:r>
      <w:r w:rsidR="00FE2749">
        <w:t>. By</w:t>
      </w:r>
      <w:r w:rsidR="0037678B">
        <w:t xml:space="preserve"> October of that</w:t>
      </w:r>
      <w:r w:rsidR="00FE2749">
        <w:t xml:space="preserve"> same year growth turned negative and as of November 2015 </w:t>
      </w:r>
      <w:r w:rsidR="0083134E">
        <w:t>registered</w:t>
      </w:r>
      <w:r w:rsidR="00B9775A">
        <w:t xml:space="preserve"> a</w:t>
      </w:r>
      <w:r w:rsidR="00FE2749">
        <w:t xml:space="preserve"> decline of -0.6 percent.</w:t>
      </w:r>
      <w:r w:rsidR="00AC75FB">
        <w:t xml:space="preserve"> Note that the price of </w:t>
      </w:r>
      <w:r w:rsidR="008407DB">
        <w:t>West Texas Intermediate oil began posting year over year declines as early as July 2014</w:t>
      </w:r>
      <w:r w:rsidR="009D2F1F">
        <w:t xml:space="preserve"> and by November 2015 was down nearly 44 percent from the previous year</w:t>
      </w:r>
      <w:r w:rsidR="008407DB">
        <w:t>.</w:t>
      </w:r>
      <w:r w:rsidR="0083134E">
        <w:t xml:space="preserve"> </w:t>
      </w:r>
    </w:p>
    <w:p w:rsidR="004900A6" w:rsidRDefault="004900A6" w:rsidP="00BC0F2B">
      <w:pPr>
        <w:pStyle w:val="NoSpacing"/>
      </w:pPr>
    </w:p>
    <w:p w:rsidR="00E35295" w:rsidRDefault="0083134E" w:rsidP="00BC0F2B">
      <w:pPr>
        <w:pStyle w:val="NoSpacing"/>
      </w:pPr>
      <w:r>
        <w:t>The last time Professional and Technical Services saw a comparable rate</w:t>
      </w:r>
      <w:r w:rsidR="00B9775A">
        <w:t xml:space="preserve"> of</w:t>
      </w:r>
      <w:r>
        <w:t xml:space="preserve"> </w:t>
      </w:r>
      <w:r w:rsidR="00B9775A">
        <w:t>negative growth</w:t>
      </w:r>
      <w:r>
        <w:t xml:space="preserve"> was May 2010 however </w:t>
      </w:r>
      <w:r w:rsidR="00B9775A">
        <w:t>that was</w:t>
      </w:r>
      <w:r w:rsidR="009D2F1F">
        <w:t xml:space="preserve"> after reaching a trough of -7.0 percent during the depths of the recession.</w:t>
      </w:r>
      <w:r w:rsidR="0037678B">
        <w:t xml:space="preserve"> While it is impossible to predict the point at which oil prices and subsequently employment begin recover,</w:t>
      </w:r>
      <w:r w:rsidR="00616935">
        <w:t xml:space="preserve"> </w:t>
      </w:r>
      <w:r w:rsidR="00745189">
        <w:t>extrapolating from the</w:t>
      </w:r>
      <w:r w:rsidR="00616935">
        <w:t xml:space="preserve"> trend observed during the recession implies that there will be continued job losses in Professional and Technical Services, among other sectors, well into 2016.</w:t>
      </w:r>
      <w:r w:rsidR="00606C91">
        <w:t xml:space="preserve"> </w:t>
      </w:r>
      <w:proofErr w:type="gramStart"/>
      <w:r w:rsidR="00606C91">
        <w:t>(See Chart 3</w:t>
      </w:r>
      <w:r w:rsidR="000520A6">
        <w:t>.)</w:t>
      </w:r>
      <w:proofErr w:type="gramEnd"/>
    </w:p>
    <w:p w:rsidR="00E35295" w:rsidRDefault="00E35295" w:rsidP="00BC0F2B">
      <w:pPr>
        <w:pStyle w:val="NoSpacing"/>
      </w:pPr>
    </w:p>
    <w:p w:rsidR="00E35295" w:rsidRDefault="003E05AE" w:rsidP="004900A6">
      <w:pPr>
        <w:pStyle w:val="NoSpacing"/>
        <w:jc w:val="center"/>
      </w:pPr>
      <w:r w:rsidRPr="003E05AE">
        <w:rPr>
          <w:noProof/>
        </w:rPr>
        <w:drawing>
          <wp:inline distT="0" distB="0" distL="0" distR="0">
            <wp:extent cx="5943600" cy="3600812"/>
            <wp:effectExtent l="57150" t="19050" r="114300" b="94888"/>
            <wp:docPr id="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a:stretch>
                      <a:fillRect/>
                    </a:stretch>
                  </pic:blipFill>
                  <pic:spPr bwMode="auto">
                    <a:xfrm>
                      <a:off x="0" y="0"/>
                      <a:ext cx="5943600" cy="3600812"/>
                    </a:xfrm>
                    <a:prstGeom prst="rect">
                      <a:avLst/>
                    </a:prstGeom>
                    <a:noFill/>
                    <a:ln w="9525">
                      <a:solidFill>
                        <a:schemeClr val="tx2"/>
                      </a:solidFill>
                      <a:miter lim="800000"/>
                      <a:headEnd/>
                      <a:tailEnd/>
                    </a:ln>
                    <a:effectLst>
                      <a:outerShdw blurRad="50800" dist="50800" dir="2700000" algn="tl" rotWithShape="0">
                        <a:prstClr val="black">
                          <a:alpha val="55000"/>
                        </a:prstClr>
                      </a:outerShdw>
                    </a:effectLst>
                  </pic:spPr>
                </pic:pic>
              </a:graphicData>
            </a:graphic>
          </wp:inline>
        </w:drawing>
      </w:r>
    </w:p>
    <w:p w:rsidR="00AC27F7" w:rsidRDefault="00AC27F7" w:rsidP="00BC0F2B">
      <w:pPr>
        <w:pStyle w:val="NoSpacing"/>
      </w:pPr>
    </w:p>
    <w:p w:rsidR="00413D5E" w:rsidRDefault="00413D5E" w:rsidP="00594213">
      <w:pPr>
        <w:pStyle w:val="NoSpacing"/>
        <w:rPr>
          <w:b/>
          <w:sz w:val="28"/>
          <w:szCs w:val="28"/>
        </w:rPr>
      </w:pPr>
    </w:p>
    <w:p w:rsidR="00413D5E" w:rsidRDefault="00413D5E" w:rsidP="00594213">
      <w:pPr>
        <w:pStyle w:val="NoSpacing"/>
        <w:rPr>
          <w:b/>
          <w:sz w:val="28"/>
          <w:szCs w:val="28"/>
        </w:rPr>
      </w:pPr>
    </w:p>
    <w:p w:rsidR="00413D5E" w:rsidRDefault="00413D5E" w:rsidP="00594213">
      <w:pPr>
        <w:pStyle w:val="NoSpacing"/>
        <w:rPr>
          <w:b/>
          <w:sz w:val="28"/>
          <w:szCs w:val="28"/>
        </w:rPr>
      </w:pPr>
    </w:p>
    <w:p w:rsidR="00594213" w:rsidRPr="00854577" w:rsidRDefault="00594213" w:rsidP="00594213">
      <w:pPr>
        <w:pStyle w:val="NoSpacing"/>
        <w:rPr>
          <w:b/>
          <w:sz w:val="28"/>
          <w:szCs w:val="28"/>
        </w:rPr>
      </w:pPr>
      <w:r w:rsidRPr="00854577">
        <w:rPr>
          <w:b/>
          <w:sz w:val="28"/>
          <w:szCs w:val="28"/>
        </w:rPr>
        <w:lastRenderedPageBreak/>
        <w:t xml:space="preserve">The </w:t>
      </w:r>
      <w:r w:rsidR="000520A6" w:rsidRPr="00854577">
        <w:rPr>
          <w:b/>
          <w:sz w:val="28"/>
          <w:szCs w:val="28"/>
        </w:rPr>
        <w:t>Geography</w:t>
      </w:r>
      <w:r w:rsidRPr="00854577">
        <w:rPr>
          <w:b/>
          <w:sz w:val="28"/>
          <w:szCs w:val="28"/>
        </w:rPr>
        <w:t xml:space="preserve"> of Professional and Technical Services Employment across the Region</w:t>
      </w:r>
    </w:p>
    <w:p w:rsidR="00594213" w:rsidRDefault="00594213" w:rsidP="00594213">
      <w:pPr>
        <w:pStyle w:val="NoSpacing"/>
      </w:pPr>
    </w:p>
    <w:p w:rsidR="00AC27F7" w:rsidRPr="00EE0A4F" w:rsidRDefault="00594213" w:rsidP="000F201E">
      <w:pPr>
        <w:pStyle w:val="NoSpacing"/>
        <w:rPr>
          <w:sz w:val="32"/>
          <w:szCs w:val="32"/>
        </w:rPr>
      </w:pPr>
      <w:r>
        <w:t>Of the approximately 213,000 Professional and Technical Services jobs across the 13-county region, the overwhelming majority</w:t>
      </w:r>
      <w:r w:rsidR="00EE0A4F">
        <w:t xml:space="preserve"> (86.1</w:t>
      </w:r>
      <w:r>
        <w:t xml:space="preserve"> percent</w:t>
      </w:r>
      <w:r w:rsidR="00EE0A4F">
        <w:t>)</w:t>
      </w:r>
      <w:r>
        <w:t xml:space="preserve"> are found within Harris County</w:t>
      </w:r>
      <w:r w:rsidR="00163BCF">
        <w:t xml:space="preserve"> </w:t>
      </w:r>
      <w:r w:rsidR="00D10161">
        <w:t>compared</w:t>
      </w:r>
      <w:r w:rsidR="006136DC">
        <w:t xml:space="preserve"> to</w:t>
      </w:r>
      <w:r w:rsidR="001A3E80">
        <w:t xml:space="preserve"> 80</w:t>
      </w:r>
      <w:r w:rsidR="00745189">
        <w:t>.0</w:t>
      </w:r>
      <w:r w:rsidR="001A3E80">
        <w:t xml:space="preserve"> percent of total private employment</w:t>
      </w:r>
      <w:r w:rsidR="006136DC">
        <w:t xml:space="preserve"> </w:t>
      </w:r>
      <w:r w:rsidR="001A3E80">
        <w:t>and</w:t>
      </w:r>
      <w:r w:rsidR="006136DC">
        <w:t xml:space="preserve"> only</w:t>
      </w:r>
      <w:r w:rsidR="001A3E80">
        <w:t xml:space="preserve"> </w:t>
      </w:r>
      <w:r w:rsidR="00163BCF">
        <w:t>two-thirds of the region’</w:t>
      </w:r>
      <w:r w:rsidR="00D10161">
        <w:t xml:space="preserve">s population. </w:t>
      </w:r>
      <w:r w:rsidR="000F201E">
        <w:t>The next highest shares of Professional and Technical jobs were found in Montgomery County (5.0 percent) and Fort Bend (4.1 percent). Brazoria (1.9 percent) and Galveston (1.5 percent) were the only other counties to comprise 1 percent or more of</w:t>
      </w:r>
      <w:r w:rsidR="00745189">
        <w:t xml:space="preserve"> total</w:t>
      </w:r>
      <w:r w:rsidR="000F201E">
        <w:t xml:space="preserve"> Professional and Technical Services employment in the region. </w:t>
      </w:r>
      <w:r w:rsidR="00EE0A4F">
        <w:t>(See Exhibit 1.)</w:t>
      </w:r>
    </w:p>
    <w:p w:rsidR="00EE0A4F" w:rsidRDefault="00EE0A4F" w:rsidP="00AC27F7">
      <w:pPr>
        <w:pStyle w:val="NoSpacing"/>
        <w:jc w:val="center"/>
      </w:pPr>
    </w:p>
    <w:p w:rsidR="00465362" w:rsidRDefault="00465362" w:rsidP="00CA162D">
      <w:pPr>
        <w:pStyle w:val="NoSpacing"/>
        <w:rPr>
          <w:b/>
        </w:rPr>
      </w:pPr>
    </w:p>
    <w:p w:rsidR="00EE0A4F" w:rsidRDefault="00EE0A4F" w:rsidP="00606C91">
      <w:pPr>
        <w:pStyle w:val="NoSpacing"/>
        <w:jc w:val="center"/>
        <w:rPr>
          <w:b/>
        </w:rPr>
      </w:pPr>
      <w:proofErr w:type="gramStart"/>
      <w:r w:rsidRPr="00EE0A4F">
        <w:rPr>
          <w:b/>
        </w:rPr>
        <w:t>Exhibit 1.</w:t>
      </w:r>
      <w:proofErr w:type="gramEnd"/>
      <w:r w:rsidRPr="00EE0A4F">
        <w:rPr>
          <w:b/>
        </w:rPr>
        <w:t xml:space="preserve"> County Share of </w:t>
      </w:r>
      <w:r w:rsidR="00BD2793">
        <w:rPr>
          <w:b/>
        </w:rPr>
        <w:t xml:space="preserve">Gulf Coast Region </w:t>
      </w:r>
      <w:r w:rsidRPr="00EE0A4F">
        <w:rPr>
          <w:b/>
        </w:rPr>
        <w:t>Employment in Professional, Scientific, and Technical Services, Q2 2015</w:t>
      </w:r>
    </w:p>
    <w:p w:rsidR="00854577" w:rsidRPr="00EE0A4F" w:rsidRDefault="00854577" w:rsidP="00280076">
      <w:pPr>
        <w:pStyle w:val="NoSpacing"/>
        <w:rPr>
          <w:b/>
        </w:rPr>
      </w:pPr>
    </w:p>
    <w:p w:rsidR="00854577" w:rsidRDefault="00BD2793" w:rsidP="00280076">
      <w:pPr>
        <w:pStyle w:val="NoSpacing"/>
        <w:jc w:val="center"/>
      </w:pPr>
      <w:r w:rsidRPr="00BD2793">
        <w:rPr>
          <w:noProof/>
        </w:rPr>
        <w:drawing>
          <wp:inline distT="0" distB="0" distL="0" distR="0">
            <wp:extent cx="5125392" cy="3840480"/>
            <wp:effectExtent l="57150" t="19050" r="113358" b="10287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125392" cy="3840480"/>
                    </a:xfrm>
                    <a:prstGeom prst="rect">
                      <a:avLst/>
                    </a:prstGeom>
                    <a:noFill/>
                    <a:ln w="9525">
                      <a:solidFill>
                        <a:schemeClr val="tx2"/>
                      </a:solidFill>
                      <a:miter lim="800000"/>
                      <a:headEnd/>
                      <a:tailEnd/>
                    </a:ln>
                    <a:effectLst>
                      <a:outerShdw blurRad="50800" dist="50800" dir="2700000" algn="tl" rotWithShape="0">
                        <a:prstClr val="black">
                          <a:alpha val="55000"/>
                        </a:prstClr>
                      </a:outerShdw>
                    </a:effectLst>
                  </pic:spPr>
                </pic:pic>
              </a:graphicData>
            </a:graphic>
          </wp:inline>
        </w:drawing>
      </w:r>
    </w:p>
    <w:p w:rsidR="00280076" w:rsidRDefault="00280076" w:rsidP="00280076">
      <w:pPr>
        <w:pStyle w:val="NoSpacing"/>
        <w:jc w:val="center"/>
      </w:pPr>
    </w:p>
    <w:p w:rsidR="00EB510E" w:rsidRDefault="00EB510E" w:rsidP="000520A6">
      <w:pPr>
        <w:pStyle w:val="NoSpacing"/>
      </w:pPr>
    </w:p>
    <w:p w:rsidR="00EB510E" w:rsidRDefault="00EB510E" w:rsidP="000520A6">
      <w:pPr>
        <w:pStyle w:val="NoSpacing"/>
      </w:pPr>
    </w:p>
    <w:p w:rsidR="00EB510E" w:rsidRDefault="00EB510E" w:rsidP="000520A6">
      <w:pPr>
        <w:pStyle w:val="NoSpacing"/>
      </w:pPr>
    </w:p>
    <w:p w:rsidR="00EB510E" w:rsidRDefault="00EB510E" w:rsidP="000520A6">
      <w:pPr>
        <w:pStyle w:val="NoSpacing"/>
      </w:pPr>
    </w:p>
    <w:p w:rsidR="00EB510E" w:rsidRDefault="00EB510E" w:rsidP="000520A6">
      <w:pPr>
        <w:pStyle w:val="NoSpacing"/>
      </w:pPr>
    </w:p>
    <w:p w:rsidR="00EB510E" w:rsidRDefault="00EB510E" w:rsidP="000520A6">
      <w:pPr>
        <w:pStyle w:val="NoSpacing"/>
      </w:pPr>
    </w:p>
    <w:p w:rsidR="00413D5E" w:rsidRDefault="00413D5E" w:rsidP="000520A6">
      <w:pPr>
        <w:pStyle w:val="NoSpacing"/>
      </w:pPr>
    </w:p>
    <w:p w:rsidR="00413D5E" w:rsidRDefault="00413D5E" w:rsidP="000520A6">
      <w:pPr>
        <w:pStyle w:val="NoSpacing"/>
      </w:pPr>
    </w:p>
    <w:p w:rsidR="000520A6" w:rsidRDefault="00962CD3" w:rsidP="000520A6">
      <w:pPr>
        <w:pStyle w:val="NoSpacing"/>
        <w:rPr>
          <w:b/>
        </w:rPr>
      </w:pPr>
      <w:r>
        <w:lastRenderedPageBreak/>
        <w:t>As noted,</w:t>
      </w:r>
      <w:r w:rsidR="00BD2793">
        <w:t xml:space="preserve"> the </w:t>
      </w:r>
      <w:r w:rsidR="0041723A">
        <w:t>vast majority</w:t>
      </w:r>
      <w:r w:rsidR="00EE0A4F">
        <w:t xml:space="preserve"> of Professional and Technical Services employment </w:t>
      </w:r>
      <w:r w:rsidR="0041723A">
        <w:t xml:space="preserve">was </w:t>
      </w:r>
      <w:r w:rsidR="00EE0A4F">
        <w:t>found within the geograph</w:t>
      </w:r>
      <w:r>
        <w:t>ic core of the 13-county region. However</w:t>
      </w:r>
      <w:r w:rsidR="00EE0A4F">
        <w:t xml:space="preserve"> share</w:t>
      </w:r>
      <w:r w:rsidR="00BD2793">
        <w:t>s</w:t>
      </w:r>
      <w:r w:rsidR="00EE0A4F">
        <w:t xml:space="preserve"> of this sector’s employment </w:t>
      </w:r>
      <w:r w:rsidR="00EE0A4F" w:rsidRPr="0050706C">
        <w:rPr>
          <w:i/>
          <w:u w:val="single"/>
        </w:rPr>
        <w:t>within</w:t>
      </w:r>
      <w:r w:rsidR="00EE0A4F">
        <w:t xml:space="preserve"> each county </w:t>
      </w:r>
      <w:r w:rsidR="0041723A">
        <w:t>demonstrated comparatively more balance</w:t>
      </w:r>
      <w:r w:rsidR="00EE0A4F">
        <w:t xml:space="preserve">. </w:t>
      </w:r>
      <w:r>
        <w:t xml:space="preserve">At the upper end was </w:t>
      </w:r>
      <w:r w:rsidR="0041723A">
        <w:t xml:space="preserve">Harris County </w:t>
      </w:r>
      <w:r>
        <w:t>with</w:t>
      </w:r>
      <w:r w:rsidR="0041723A">
        <w:t xml:space="preserve"> the highest concentration of </w:t>
      </w:r>
      <w:r w:rsidR="00BD2793">
        <w:t>Professional and Technical Services</w:t>
      </w:r>
      <w:r w:rsidR="0041723A">
        <w:t xml:space="preserve"> employment as a percentage of the county’s </w:t>
      </w:r>
      <w:r w:rsidR="00BD2793">
        <w:t xml:space="preserve">total private employment </w:t>
      </w:r>
      <w:r w:rsidR="0041723A">
        <w:t xml:space="preserve">at </w:t>
      </w:r>
      <w:r w:rsidR="00BD2793">
        <w:t>9.1 percent</w:t>
      </w:r>
      <w:r w:rsidR="00745189">
        <w:t>. This was</w:t>
      </w:r>
      <w:r w:rsidR="000520A6">
        <w:t xml:space="preserve"> </w:t>
      </w:r>
      <w:r>
        <w:t>followed by Montgomery and Matagorda</w:t>
      </w:r>
      <w:r w:rsidR="006C63DD">
        <w:t xml:space="preserve"> Counties with 7.6 percent and 6.7 percent, respectively.</w:t>
      </w:r>
      <w:r>
        <w:t xml:space="preserve"> At the other end</w:t>
      </w:r>
      <w:r w:rsidR="000520A6">
        <w:t xml:space="preserve"> of the range</w:t>
      </w:r>
      <w:r>
        <w:t xml:space="preserve"> were </w:t>
      </w:r>
      <w:r w:rsidR="0064591D">
        <w:t xml:space="preserve">Liberty (2.8 percent), Colorado (2.1 percent), and </w:t>
      </w:r>
      <w:r>
        <w:t>Wharton</w:t>
      </w:r>
      <w:r w:rsidR="0064591D">
        <w:t xml:space="preserve"> (1.6 percent)</w:t>
      </w:r>
      <w:r>
        <w:t xml:space="preserve">.  </w:t>
      </w:r>
      <w:r w:rsidR="00BE319C">
        <w:t>Lastly, it is worth highlighting that some counties on the periphery of the region</w:t>
      </w:r>
      <w:r w:rsidR="000520A6">
        <w:t>, such as Walker (5.5 percent) and Austin (4.8 percent)</w:t>
      </w:r>
      <w:r w:rsidR="00BE319C">
        <w:t xml:space="preserve"> also had relatively high </w:t>
      </w:r>
      <w:r w:rsidR="000520A6">
        <w:t>proportions</w:t>
      </w:r>
      <w:r w:rsidR="00BE319C">
        <w:t xml:space="preserve"> of Professional and Technical employment</w:t>
      </w:r>
      <w:r w:rsidR="00217376">
        <w:t xml:space="preserve"> given their small</w:t>
      </w:r>
      <w:r w:rsidR="00745189">
        <w:t xml:space="preserve"> populations</w:t>
      </w:r>
      <w:r w:rsidR="000520A6">
        <w:t>. (See Exhibit 2.)</w:t>
      </w:r>
      <w:r w:rsidR="000520A6" w:rsidRPr="000520A6">
        <w:rPr>
          <w:b/>
        </w:rPr>
        <w:t xml:space="preserve"> </w:t>
      </w:r>
    </w:p>
    <w:p w:rsidR="00465362" w:rsidRDefault="00465362" w:rsidP="00CA162D">
      <w:pPr>
        <w:pStyle w:val="NoSpacing"/>
        <w:rPr>
          <w:b/>
        </w:rPr>
      </w:pPr>
    </w:p>
    <w:p w:rsidR="00EB510E" w:rsidRDefault="00EB510E" w:rsidP="00CA162D">
      <w:pPr>
        <w:pStyle w:val="NoSpacing"/>
        <w:rPr>
          <w:b/>
        </w:rPr>
      </w:pPr>
    </w:p>
    <w:p w:rsidR="000520A6" w:rsidRDefault="000520A6" w:rsidP="00606C91">
      <w:pPr>
        <w:pStyle w:val="NoSpacing"/>
        <w:jc w:val="center"/>
        <w:rPr>
          <w:b/>
        </w:rPr>
      </w:pPr>
      <w:proofErr w:type="gramStart"/>
      <w:r>
        <w:rPr>
          <w:b/>
        </w:rPr>
        <w:t>Exhibit 2</w:t>
      </w:r>
      <w:r w:rsidRPr="00EE0A4F">
        <w:rPr>
          <w:b/>
        </w:rPr>
        <w:t>.</w:t>
      </w:r>
      <w:proofErr w:type="gramEnd"/>
      <w:r w:rsidRPr="00EE0A4F">
        <w:rPr>
          <w:b/>
        </w:rPr>
        <w:t xml:space="preserve"> </w:t>
      </w:r>
      <w:r w:rsidRPr="000520A6">
        <w:rPr>
          <w:b/>
        </w:rPr>
        <w:t>Professional, Scie</w:t>
      </w:r>
      <w:r>
        <w:rPr>
          <w:b/>
        </w:rPr>
        <w:t xml:space="preserve">ntific, and Technical Services </w:t>
      </w:r>
      <w:r w:rsidRPr="000520A6">
        <w:rPr>
          <w:b/>
        </w:rPr>
        <w:t>Share of County Total Private Employment</w:t>
      </w:r>
      <w:r w:rsidRPr="00EE0A4F">
        <w:rPr>
          <w:b/>
        </w:rPr>
        <w:t>, Q2 2015</w:t>
      </w:r>
    </w:p>
    <w:p w:rsidR="00854577" w:rsidRDefault="00BE319C" w:rsidP="00EE0A4F">
      <w:pPr>
        <w:pStyle w:val="NoSpacing"/>
      </w:pPr>
      <w:r>
        <w:t xml:space="preserve"> </w:t>
      </w:r>
      <w:r w:rsidR="00BD2793">
        <w:t xml:space="preserve"> </w:t>
      </w:r>
    </w:p>
    <w:p w:rsidR="00EE0A4F" w:rsidRDefault="00BD2793" w:rsidP="00280076">
      <w:pPr>
        <w:pStyle w:val="NoSpacing"/>
        <w:jc w:val="center"/>
      </w:pPr>
      <w:r w:rsidRPr="00BD2793">
        <w:rPr>
          <w:noProof/>
        </w:rPr>
        <w:drawing>
          <wp:inline distT="0" distB="0" distL="0" distR="0">
            <wp:extent cx="5128998" cy="3840480"/>
            <wp:effectExtent l="57150" t="19050" r="109752" b="10287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128998" cy="3840480"/>
                    </a:xfrm>
                    <a:prstGeom prst="rect">
                      <a:avLst/>
                    </a:prstGeom>
                    <a:noFill/>
                    <a:ln w="9525">
                      <a:solidFill>
                        <a:schemeClr val="tx2"/>
                      </a:solidFill>
                      <a:miter lim="800000"/>
                      <a:headEnd/>
                      <a:tailEnd/>
                    </a:ln>
                    <a:effectLst>
                      <a:outerShdw blurRad="50800" dist="50800" dir="2700000" algn="tl" rotWithShape="0">
                        <a:prstClr val="black">
                          <a:alpha val="55000"/>
                        </a:prstClr>
                      </a:outerShdw>
                    </a:effectLst>
                  </pic:spPr>
                </pic:pic>
              </a:graphicData>
            </a:graphic>
          </wp:inline>
        </w:drawing>
      </w:r>
    </w:p>
    <w:p w:rsidR="00854577" w:rsidRDefault="00854577" w:rsidP="006965AF">
      <w:pPr>
        <w:pStyle w:val="NoSpacing"/>
      </w:pPr>
    </w:p>
    <w:p w:rsidR="00EB510E" w:rsidRDefault="00EB510E" w:rsidP="006965AF">
      <w:pPr>
        <w:pStyle w:val="NoSpacing"/>
      </w:pPr>
    </w:p>
    <w:p w:rsidR="00EB510E" w:rsidRDefault="00EB510E" w:rsidP="006965AF">
      <w:pPr>
        <w:pStyle w:val="NoSpacing"/>
      </w:pPr>
    </w:p>
    <w:p w:rsidR="00EB510E" w:rsidRDefault="00EB510E" w:rsidP="006965AF">
      <w:pPr>
        <w:pStyle w:val="NoSpacing"/>
      </w:pPr>
    </w:p>
    <w:p w:rsidR="00EB510E" w:rsidRDefault="00EB510E" w:rsidP="006965AF">
      <w:pPr>
        <w:pStyle w:val="NoSpacing"/>
      </w:pPr>
    </w:p>
    <w:p w:rsidR="00EB510E" w:rsidRDefault="00EB510E" w:rsidP="006965AF">
      <w:pPr>
        <w:pStyle w:val="NoSpacing"/>
      </w:pPr>
    </w:p>
    <w:p w:rsidR="00EB510E" w:rsidRDefault="00EB510E" w:rsidP="006965AF">
      <w:pPr>
        <w:pStyle w:val="NoSpacing"/>
      </w:pPr>
    </w:p>
    <w:p w:rsidR="00EB510E" w:rsidRDefault="00EB510E" w:rsidP="006965AF">
      <w:pPr>
        <w:pStyle w:val="NoSpacing"/>
      </w:pPr>
    </w:p>
    <w:p w:rsidR="00B23E52" w:rsidRDefault="00B23E52" w:rsidP="006965AF">
      <w:pPr>
        <w:pStyle w:val="NoSpacing"/>
      </w:pPr>
    </w:p>
    <w:p w:rsidR="00217376" w:rsidRDefault="006965AF" w:rsidP="006965AF">
      <w:pPr>
        <w:pStyle w:val="NoSpacing"/>
      </w:pPr>
      <w:r>
        <w:lastRenderedPageBreak/>
        <w:t xml:space="preserve">Another </w:t>
      </w:r>
      <w:r w:rsidR="003E05AE">
        <w:t>method</w:t>
      </w:r>
      <w:r>
        <w:t xml:space="preserve"> of analyzing the geographic distribution of Professional and Technical jobs across the region </w:t>
      </w:r>
      <w:r w:rsidR="00384909">
        <w:t>involved</w:t>
      </w:r>
      <w:r>
        <w:t xml:space="preserve"> identify</w:t>
      </w:r>
      <w:r w:rsidR="00384909">
        <w:t>ing</w:t>
      </w:r>
      <w:r w:rsidR="00E83B99">
        <w:t xml:space="preserve"> which of the nine </w:t>
      </w:r>
      <w:r w:rsidR="00330385">
        <w:t xml:space="preserve">major </w:t>
      </w:r>
      <w:r>
        <w:t>Pro</w:t>
      </w:r>
      <w:r w:rsidR="00E83B99">
        <w:t>fessional and Technical industries were the largest</w:t>
      </w:r>
      <w:r>
        <w:t xml:space="preserve"> </w:t>
      </w:r>
      <w:r w:rsidRPr="00E83B99">
        <w:t>within</w:t>
      </w:r>
      <w:r>
        <w:t xml:space="preserve"> each county. Given region’s spec</w:t>
      </w:r>
      <w:r w:rsidR="00384909">
        <w:t>ialization in energy, it was not surprising that Architecture, Engineering, and Related Services was the most frequently encountered industry</w:t>
      </w:r>
      <w:r w:rsidR="00330385">
        <w:t>,</w:t>
      </w:r>
      <w:r w:rsidR="00384909">
        <w:t xml:space="preserve"> proving to be the largest in 6 out of 13 counties. In two of these counties, Chambers (59 percent) and Brazoria (53 percent), a majority of Professional and Technical jobs were in Architecture and Engineering.</w:t>
      </w:r>
      <w:r w:rsidR="00714523">
        <w:t xml:space="preserve"> </w:t>
      </w:r>
    </w:p>
    <w:p w:rsidR="00217376" w:rsidRDefault="00217376" w:rsidP="006965AF">
      <w:pPr>
        <w:pStyle w:val="NoSpacing"/>
      </w:pPr>
    </w:p>
    <w:p w:rsidR="000520A6" w:rsidRDefault="00217376" w:rsidP="006965AF">
      <w:pPr>
        <w:pStyle w:val="NoSpacing"/>
      </w:pPr>
      <w:r>
        <w:t xml:space="preserve">In contrast, </w:t>
      </w:r>
      <w:r w:rsidR="00714523">
        <w:t>Legal Services were the largest industry in Wharton, Liberty, and Matagorda Counties</w:t>
      </w:r>
      <w:r w:rsidR="00B55A4D">
        <w:t>.</w:t>
      </w:r>
      <w:r w:rsidR="00714523">
        <w:t xml:space="preserve"> Accounting was the largest in Montgomery and Colorado Counties</w:t>
      </w:r>
      <w:r w:rsidR="006B5BF6">
        <w:t xml:space="preserve"> while Computer Systems Design was the largest in Austin County</w:t>
      </w:r>
      <w:r w:rsidR="00CA162D">
        <w:t>,</w:t>
      </w:r>
      <w:r w:rsidR="00AC3859">
        <w:t xml:space="preserve"> </w:t>
      </w:r>
      <w:r w:rsidR="00CA162D">
        <w:t xml:space="preserve">possibly the </w:t>
      </w:r>
      <w:r w:rsidR="00AC3859">
        <w:t>result</w:t>
      </w:r>
      <w:r w:rsidR="00C11AC2">
        <w:t xml:space="preserve"> of</w:t>
      </w:r>
      <w:r w:rsidR="00AC3859">
        <w:t xml:space="preserve"> several small computer systems design and custom programming firms in the area</w:t>
      </w:r>
      <w:r w:rsidR="006B5BF6">
        <w:t xml:space="preserve">. Lastly, Scientific Research was the largest Professional and Technical industry in Walker County </w:t>
      </w:r>
      <w:r>
        <w:t xml:space="preserve">and </w:t>
      </w:r>
      <w:r w:rsidR="00CA162D">
        <w:t>presumably related to</w:t>
      </w:r>
      <w:r w:rsidR="006B5BF6">
        <w:t xml:space="preserve"> the presence of</w:t>
      </w:r>
      <w:r w:rsidR="005B4293">
        <w:t xml:space="preserve"> </w:t>
      </w:r>
      <w:r w:rsidR="002C5612">
        <w:t xml:space="preserve">Carnegie </w:t>
      </w:r>
      <w:r>
        <w:t>designated</w:t>
      </w:r>
      <w:r w:rsidR="002C5612">
        <w:t xml:space="preserve"> doctoral research institution</w:t>
      </w:r>
      <w:r w:rsidR="005B4293">
        <w:t xml:space="preserve"> Sam Houston State University.</w:t>
      </w:r>
      <w:r w:rsidR="006B5BF6">
        <w:t xml:space="preserve"> </w:t>
      </w:r>
      <w:r w:rsidR="00CA162D">
        <w:t>(See Exhibit 3.)</w:t>
      </w:r>
    </w:p>
    <w:p w:rsidR="00CA162D" w:rsidRDefault="00CA162D" w:rsidP="006965AF">
      <w:pPr>
        <w:pStyle w:val="NoSpacing"/>
      </w:pPr>
    </w:p>
    <w:p w:rsidR="00CA162D" w:rsidRDefault="00CA162D" w:rsidP="00606C91">
      <w:pPr>
        <w:pStyle w:val="NoSpacing"/>
        <w:jc w:val="center"/>
        <w:rPr>
          <w:b/>
        </w:rPr>
      </w:pPr>
      <w:proofErr w:type="gramStart"/>
      <w:r>
        <w:rPr>
          <w:b/>
        </w:rPr>
        <w:t>Exhibit 3</w:t>
      </w:r>
      <w:r w:rsidRPr="00EE0A4F">
        <w:rPr>
          <w:b/>
        </w:rPr>
        <w:t>.</w:t>
      </w:r>
      <w:proofErr w:type="gramEnd"/>
      <w:r w:rsidRPr="00EE0A4F">
        <w:rPr>
          <w:b/>
        </w:rPr>
        <w:t xml:space="preserve"> </w:t>
      </w:r>
      <w:r>
        <w:rPr>
          <w:b/>
        </w:rPr>
        <w:t xml:space="preserve">Largest </w:t>
      </w:r>
      <w:r w:rsidRPr="000520A6">
        <w:rPr>
          <w:b/>
        </w:rPr>
        <w:t>Profe</w:t>
      </w:r>
      <w:r>
        <w:rPr>
          <w:b/>
        </w:rPr>
        <w:t>ssional and</w:t>
      </w:r>
      <w:r w:rsidRPr="000520A6">
        <w:rPr>
          <w:b/>
        </w:rPr>
        <w:t xml:space="preserve"> </w:t>
      </w:r>
      <w:r>
        <w:rPr>
          <w:b/>
        </w:rPr>
        <w:t>Technical Industry as a Percentage</w:t>
      </w:r>
      <w:r w:rsidRPr="000520A6">
        <w:rPr>
          <w:b/>
        </w:rPr>
        <w:t xml:space="preserve"> of County Total </w:t>
      </w:r>
      <w:r>
        <w:rPr>
          <w:b/>
        </w:rPr>
        <w:t>Professional and Technical Services</w:t>
      </w:r>
      <w:r w:rsidRPr="000520A6">
        <w:rPr>
          <w:b/>
        </w:rPr>
        <w:t xml:space="preserve"> Employment</w:t>
      </w:r>
      <w:r w:rsidRPr="00EE0A4F">
        <w:rPr>
          <w:b/>
        </w:rPr>
        <w:t>,</w:t>
      </w:r>
      <w:r>
        <w:rPr>
          <w:b/>
        </w:rPr>
        <w:t xml:space="preserve"> Q2 2015</w:t>
      </w:r>
    </w:p>
    <w:p w:rsidR="00CA162D" w:rsidRDefault="00CA162D" w:rsidP="006965AF">
      <w:pPr>
        <w:pStyle w:val="NoSpacing"/>
      </w:pPr>
    </w:p>
    <w:p w:rsidR="00EE0A4F" w:rsidRDefault="00BD2793" w:rsidP="00AC27F7">
      <w:pPr>
        <w:pStyle w:val="NoSpacing"/>
        <w:jc w:val="center"/>
      </w:pPr>
      <w:r w:rsidRPr="00BD2793">
        <w:rPr>
          <w:noProof/>
        </w:rPr>
        <w:drawing>
          <wp:inline distT="0" distB="0" distL="0" distR="0">
            <wp:extent cx="5105951" cy="3835598"/>
            <wp:effectExtent l="57150" t="19050" r="113749" b="88702"/>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115376" cy="3842678"/>
                    </a:xfrm>
                    <a:prstGeom prst="rect">
                      <a:avLst/>
                    </a:prstGeom>
                    <a:noFill/>
                    <a:ln w="9525">
                      <a:solidFill>
                        <a:schemeClr val="tx2"/>
                      </a:solidFill>
                      <a:miter lim="800000"/>
                      <a:headEnd/>
                      <a:tailEnd/>
                    </a:ln>
                    <a:effectLst>
                      <a:outerShdw blurRad="50800" dist="50800" dir="2700000" algn="tl" rotWithShape="0">
                        <a:prstClr val="black">
                          <a:alpha val="55000"/>
                        </a:prstClr>
                      </a:outerShdw>
                    </a:effectLst>
                  </pic:spPr>
                </pic:pic>
              </a:graphicData>
            </a:graphic>
          </wp:inline>
        </w:drawing>
      </w:r>
    </w:p>
    <w:p w:rsidR="00330385" w:rsidRDefault="00330385" w:rsidP="00E83B99">
      <w:pPr>
        <w:pStyle w:val="NoSpacing"/>
      </w:pPr>
    </w:p>
    <w:p w:rsidR="007B206D" w:rsidRDefault="007B206D" w:rsidP="00E83B99">
      <w:pPr>
        <w:pStyle w:val="NoSpacing"/>
        <w:rPr>
          <w:b/>
          <w:sz w:val="28"/>
          <w:szCs w:val="28"/>
        </w:rPr>
      </w:pPr>
    </w:p>
    <w:p w:rsidR="007B206D" w:rsidRDefault="007B206D" w:rsidP="00E83B99">
      <w:pPr>
        <w:pStyle w:val="NoSpacing"/>
        <w:rPr>
          <w:b/>
          <w:sz w:val="28"/>
          <w:szCs w:val="28"/>
        </w:rPr>
      </w:pPr>
    </w:p>
    <w:p w:rsidR="007B206D" w:rsidRDefault="007B206D" w:rsidP="00E83B99">
      <w:pPr>
        <w:pStyle w:val="NoSpacing"/>
        <w:rPr>
          <w:b/>
          <w:sz w:val="28"/>
          <w:szCs w:val="28"/>
        </w:rPr>
      </w:pPr>
    </w:p>
    <w:p w:rsidR="007B206D" w:rsidRDefault="007B206D" w:rsidP="00E83B99">
      <w:pPr>
        <w:pStyle w:val="NoSpacing"/>
        <w:rPr>
          <w:b/>
          <w:sz w:val="28"/>
          <w:szCs w:val="28"/>
        </w:rPr>
      </w:pPr>
    </w:p>
    <w:p w:rsidR="00E83B99" w:rsidRPr="00854577" w:rsidRDefault="00E83B99" w:rsidP="00E83B99">
      <w:pPr>
        <w:pStyle w:val="NoSpacing"/>
        <w:rPr>
          <w:b/>
          <w:sz w:val="28"/>
          <w:szCs w:val="28"/>
        </w:rPr>
      </w:pPr>
      <w:r w:rsidRPr="00854577">
        <w:rPr>
          <w:b/>
          <w:sz w:val="28"/>
          <w:szCs w:val="28"/>
        </w:rPr>
        <w:lastRenderedPageBreak/>
        <w:t>Professional and Technical Services Sector</w:t>
      </w:r>
      <w:r w:rsidR="00330385" w:rsidRPr="00854577">
        <w:rPr>
          <w:b/>
          <w:sz w:val="28"/>
          <w:szCs w:val="28"/>
        </w:rPr>
        <w:t xml:space="preserve"> -</w:t>
      </w:r>
      <w:r w:rsidRPr="00854577">
        <w:rPr>
          <w:b/>
          <w:sz w:val="28"/>
          <w:szCs w:val="28"/>
        </w:rPr>
        <w:t xml:space="preserve"> </w:t>
      </w:r>
      <w:r w:rsidR="0057282B" w:rsidRPr="00854577">
        <w:rPr>
          <w:b/>
          <w:sz w:val="28"/>
          <w:szCs w:val="28"/>
        </w:rPr>
        <w:t>Employment Projection</w:t>
      </w:r>
      <w:r w:rsidR="00854577">
        <w:rPr>
          <w:b/>
          <w:sz w:val="28"/>
          <w:szCs w:val="28"/>
        </w:rPr>
        <w:t xml:space="preserve">s </w:t>
      </w:r>
      <w:r w:rsidR="00E744DB">
        <w:rPr>
          <w:b/>
          <w:sz w:val="28"/>
          <w:szCs w:val="28"/>
        </w:rPr>
        <w:t>vs. Actual Job Growth</w:t>
      </w:r>
    </w:p>
    <w:p w:rsidR="00E83B99" w:rsidRDefault="00E83B99" w:rsidP="00E83B99">
      <w:pPr>
        <w:pStyle w:val="NoSpacing"/>
      </w:pPr>
    </w:p>
    <w:p w:rsidR="00611784" w:rsidRDefault="0057282B" w:rsidP="00E83B99">
      <w:pPr>
        <w:pStyle w:val="NoSpacing"/>
      </w:pPr>
      <w:r>
        <w:t>As noted Professional and Technical Services employment is projected to grow 25 percent between 2012 and 2022</w:t>
      </w:r>
      <w:r w:rsidR="0026112F">
        <w:t xml:space="preserve">. This translates to an average </w:t>
      </w:r>
      <w:r>
        <w:t>annual projected</w:t>
      </w:r>
      <w:r w:rsidR="0026112F">
        <w:t xml:space="preserve"> growth rate of 2.3 percent</w:t>
      </w:r>
      <w:r w:rsidR="004D46A8">
        <w:t xml:space="preserve"> each year</w:t>
      </w:r>
      <w:r w:rsidR="0026112F">
        <w:t xml:space="preserve">. Armed with this knowledge it was possible to </w:t>
      </w:r>
      <w:r w:rsidR="004D46A8">
        <w:t>determine</w:t>
      </w:r>
      <w:r w:rsidR="0026112F">
        <w:t xml:space="preserve"> whether Professional and Technical Services </w:t>
      </w:r>
      <w:r w:rsidR="00217376">
        <w:t>has been growing at the</w:t>
      </w:r>
      <w:r w:rsidR="0026112F">
        <w:t xml:space="preserve"> pace</w:t>
      </w:r>
      <w:r w:rsidR="00217376">
        <w:t xml:space="preserve"> needed</w:t>
      </w:r>
      <w:r w:rsidR="0026112F">
        <w:t xml:space="preserve"> </w:t>
      </w:r>
      <w:r w:rsidR="00217376">
        <w:t>to reach the projected</w:t>
      </w:r>
      <w:r w:rsidR="00EF7033">
        <w:t xml:space="preserve"> target of 246,040 jobs by 2022. </w:t>
      </w:r>
    </w:p>
    <w:p w:rsidR="00611784" w:rsidRDefault="00611784" w:rsidP="00E83B99">
      <w:pPr>
        <w:pStyle w:val="NoSpacing"/>
      </w:pPr>
    </w:p>
    <w:p w:rsidR="00611784" w:rsidRDefault="00EF7033" w:rsidP="00E83B99">
      <w:pPr>
        <w:pStyle w:val="NoSpacing"/>
      </w:pPr>
      <w:r>
        <w:t xml:space="preserve">During the first two years from 2012 to 2013 and 2013 to 2014, </w:t>
      </w:r>
      <w:r w:rsidR="00D34F9D">
        <w:t>this sector managed to grow 4.7</w:t>
      </w:r>
      <w:r>
        <w:t xml:space="preserve"> percent</w:t>
      </w:r>
      <w:r w:rsidR="00D34F9D">
        <w:t xml:space="preserve"> and 3.8 percent year over year, respectively</w:t>
      </w:r>
      <w:r>
        <w:t>, which was faster than minimum 2.3 percent needed.</w:t>
      </w:r>
      <w:r w:rsidR="007B7E7D">
        <w:t xml:space="preserve"> While data for the third and fourth quarters of 2015 are not yet available, the </w:t>
      </w:r>
      <w:r w:rsidR="008500AA">
        <w:t>absolute number</w:t>
      </w:r>
      <w:r w:rsidR="007B7E7D">
        <w:t xml:space="preserve"> of Professional and Technical Services</w:t>
      </w:r>
      <w:r w:rsidR="008500AA">
        <w:t xml:space="preserve"> jobs</w:t>
      </w:r>
      <w:r w:rsidR="007B7E7D">
        <w:t xml:space="preserve"> as of the first half of 2015 </w:t>
      </w:r>
      <w:r w:rsidR="008500AA">
        <w:t>was</w:t>
      </w:r>
      <w:r w:rsidR="007B7E7D">
        <w:t xml:space="preserve"> higher than the average for all of 2014 by</w:t>
      </w:r>
      <w:r w:rsidR="00217376">
        <w:t xml:space="preserve"> only</w:t>
      </w:r>
      <w:r w:rsidR="007B7E7D">
        <w:t xml:space="preserve"> 1,488 or 0.7 percent.</w:t>
      </w:r>
      <w:r w:rsidR="001469E8">
        <w:t xml:space="preserve"> To compare, the first half of 2014 compared to the average of 2013 was higher by 5,086 jobs or 2.5 percent. </w:t>
      </w:r>
    </w:p>
    <w:p w:rsidR="00611784" w:rsidRDefault="00611784" w:rsidP="00E83B99">
      <w:pPr>
        <w:pStyle w:val="NoSpacing"/>
      </w:pPr>
    </w:p>
    <w:p w:rsidR="008500AA" w:rsidRDefault="00BE2870" w:rsidP="00E83B99">
      <w:pPr>
        <w:pStyle w:val="NoSpacing"/>
      </w:pPr>
      <w:r>
        <w:t xml:space="preserve">Put simply, </w:t>
      </w:r>
      <w:r w:rsidR="008500AA">
        <w:t>job growth in</w:t>
      </w:r>
      <w:r>
        <w:t xml:space="preserve"> the first half</w:t>
      </w:r>
      <w:r w:rsidR="008500AA">
        <w:t xml:space="preserve"> 2015 </w:t>
      </w:r>
      <w:r>
        <w:t xml:space="preserve">slowed compared to previous years and </w:t>
      </w:r>
      <w:r w:rsidR="00611784">
        <w:t xml:space="preserve">is </w:t>
      </w:r>
      <w:r>
        <w:t>likely</w:t>
      </w:r>
      <w:r w:rsidR="00611784">
        <w:t xml:space="preserve"> to have</w:t>
      </w:r>
      <w:r>
        <w:t xml:space="preserve"> continued to do so in the second half of the year</w:t>
      </w:r>
      <w:r w:rsidR="008500AA">
        <w:t>.</w:t>
      </w:r>
      <w:r>
        <w:t xml:space="preserve"> However, if the Gulf Coast manages to at least match the projected level of jobs for 2015 of 210,406, the region can still meet the projected target of 246,040 jobs by 2022</w:t>
      </w:r>
      <w:r w:rsidR="00611784">
        <w:t>.</w:t>
      </w:r>
      <w:r>
        <w:t xml:space="preserve"> </w:t>
      </w:r>
      <w:r w:rsidR="00611784">
        <w:t>Note that this assumes a growth rate of</w:t>
      </w:r>
      <w:r>
        <w:t xml:space="preserve"> </w:t>
      </w:r>
      <w:r w:rsidR="000166A1">
        <w:t>2.3</w:t>
      </w:r>
      <w:r>
        <w:t xml:space="preserve"> percent each year for the remaining </w:t>
      </w:r>
      <w:r w:rsidR="00217376">
        <w:t>five</w:t>
      </w:r>
      <w:r>
        <w:t xml:space="preserve"> and a half years. </w:t>
      </w:r>
      <w:r w:rsidR="00611784">
        <w:t>At the same time, a</w:t>
      </w:r>
      <w:r>
        <w:t xml:space="preserve"> protracted period of low oil prices continuing to adversely affect employment in the region may jeopardize the</w:t>
      </w:r>
      <w:r w:rsidR="000166A1">
        <w:t xml:space="preserve"> ability of Professional and Technical Services to reach this target.</w:t>
      </w:r>
      <w:r>
        <w:t xml:space="preserve"> </w:t>
      </w:r>
      <w:r w:rsidR="00606C91">
        <w:t xml:space="preserve"> </w:t>
      </w:r>
      <w:proofErr w:type="gramStart"/>
      <w:r w:rsidR="00606C91">
        <w:t>(See Chart 4</w:t>
      </w:r>
      <w:r w:rsidR="00330385">
        <w:t>.)</w:t>
      </w:r>
      <w:proofErr w:type="gramEnd"/>
    </w:p>
    <w:p w:rsidR="00EB510E" w:rsidRDefault="00EB510E" w:rsidP="00E83B99">
      <w:pPr>
        <w:pStyle w:val="NoSpacing"/>
      </w:pPr>
    </w:p>
    <w:p w:rsidR="00B23E52" w:rsidRDefault="00B23E52" w:rsidP="00E83B99">
      <w:pPr>
        <w:pStyle w:val="NoSpacing"/>
      </w:pPr>
    </w:p>
    <w:p w:rsidR="000166A1" w:rsidRDefault="003E05AE" w:rsidP="004900A6">
      <w:pPr>
        <w:pStyle w:val="NoSpacing"/>
        <w:jc w:val="center"/>
      </w:pPr>
      <w:r w:rsidRPr="003E05AE">
        <w:rPr>
          <w:noProof/>
        </w:rPr>
        <w:drawing>
          <wp:inline distT="0" distB="0" distL="0" distR="0">
            <wp:extent cx="5010943" cy="3494049"/>
            <wp:effectExtent l="57150" t="19050" r="113507" b="87351"/>
            <wp:docPr id="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a:stretch>
                      <a:fillRect/>
                    </a:stretch>
                  </pic:blipFill>
                  <pic:spPr bwMode="auto">
                    <a:xfrm>
                      <a:off x="0" y="0"/>
                      <a:ext cx="5010790" cy="3493943"/>
                    </a:xfrm>
                    <a:prstGeom prst="rect">
                      <a:avLst/>
                    </a:prstGeom>
                    <a:noFill/>
                    <a:ln w="9525">
                      <a:solidFill>
                        <a:schemeClr val="tx2"/>
                      </a:solidFill>
                      <a:miter lim="800000"/>
                      <a:headEnd/>
                      <a:tailEnd/>
                    </a:ln>
                    <a:effectLst>
                      <a:outerShdw blurRad="50800" dist="50800" dir="2700000" algn="tl" rotWithShape="0">
                        <a:prstClr val="black">
                          <a:alpha val="55000"/>
                        </a:prstClr>
                      </a:outerShdw>
                    </a:effectLst>
                  </pic:spPr>
                </pic:pic>
              </a:graphicData>
            </a:graphic>
          </wp:inline>
        </w:drawing>
      </w:r>
    </w:p>
    <w:p w:rsidR="00606C91" w:rsidRDefault="00606C91" w:rsidP="004900A6">
      <w:pPr>
        <w:pStyle w:val="NoSpacing"/>
        <w:rPr>
          <w:b/>
          <w:sz w:val="28"/>
          <w:szCs w:val="28"/>
        </w:rPr>
      </w:pPr>
    </w:p>
    <w:p w:rsidR="004900A6" w:rsidRPr="00854577" w:rsidRDefault="004900A6" w:rsidP="004900A6">
      <w:pPr>
        <w:pStyle w:val="NoSpacing"/>
        <w:rPr>
          <w:b/>
          <w:sz w:val="28"/>
          <w:szCs w:val="28"/>
        </w:rPr>
      </w:pPr>
      <w:r w:rsidRPr="00854577">
        <w:rPr>
          <w:b/>
          <w:sz w:val="28"/>
          <w:szCs w:val="28"/>
        </w:rPr>
        <w:lastRenderedPageBreak/>
        <w:t>Professional and Technical Services M</w:t>
      </w:r>
      <w:r w:rsidR="00330385" w:rsidRPr="00854577">
        <w:rPr>
          <w:b/>
          <w:sz w:val="28"/>
          <w:szCs w:val="28"/>
        </w:rPr>
        <w:t>ajor Industries -</w:t>
      </w:r>
      <w:r w:rsidRPr="00854577">
        <w:rPr>
          <w:b/>
          <w:sz w:val="28"/>
          <w:szCs w:val="28"/>
        </w:rPr>
        <w:t xml:space="preserve"> Employment Projections</w:t>
      </w:r>
    </w:p>
    <w:p w:rsidR="004900A6" w:rsidRDefault="004900A6" w:rsidP="004900A6">
      <w:pPr>
        <w:pStyle w:val="NoSpacing"/>
      </w:pPr>
    </w:p>
    <w:p w:rsidR="004900A6" w:rsidRDefault="004900A6" w:rsidP="004900A6">
      <w:pPr>
        <w:pStyle w:val="NoSpacing"/>
      </w:pPr>
      <w:r>
        <w:t xml:space="preserve">Among the nine major Professional and Technical Services Industries highlighted earlier, six are projected to grow faster than </w:t>
      </w:r>
      <w:r w:rsidR="004D46A8">
        <w:t xml:space="preserve">the </w:t>
      </w:r>
      <w:r>
        <w:t xml:space="preserve">average for all industries/occupations </w:t>
      </w:r>
      <w:r w:rsidR="00217376">
        <w:t>of</w:t>
      </w:r>
      <w:r w:rsidR="004D46A8">
        <w:t xml:space="preserve"> 23.8 percent. Computer Systems Design and Related Services are projected to grow the fastest at 33.5 percent over the 10-year period. This is followed by Management and Technical Consulting Services (29.5 percent) and Architectural and Engineering Services (29.1 percent). Two industries, Legal Services (18.3 percent) and Accounting and Bookkeeping (16.5 percent) are projected to grow slower than average over this same period. Only Scientific Research and Development Services is expected to decline in absolute terms, contracting 14.2 percent by 2022.</w:t>
      </w:r>
      <w:r w:rsidR="00606C91">
        <w:t xml:space="preserve"> </w:t>
      </w:r>
      <w:proofErr w:type="gramStart"/>
      <w:r w:rsidR="00606C91">
        <w:t>(See Chart 5</w:t>
      </w:r>
      <w:r w:rsidR="00A875D1">
        <w:t>.)</w:t>
      </w:r>
      <w:proofErr w:type="gramEnd"/>
    </w:p>
    <w:p w:rsidR="004D46A8" w:rsidRDefault="004D46A8" w:rsidP="004900A6">
      <w:pPr>
        <w:pStyle w:val="NoSpacing"/>
      </w:pPr>
    </w:p>
    <w:p w:rsidR="00B23E52" w:rsidRPr="004900A6" w:rsidRDefault="00B23E52" w:rsidP="004900A6">
      <w:pPr>
        <w:pStyle w:val="NoSpacing"/>
      </w:pPr>
    </w:p>
    <w:p w:rsidR="00E233C6" w:rsidRDefault="00E233C6" w:rsidP="00E233C6">
      <w:pPr>
        <w:pStyle w:val="NoSpacing"/>
        <w:rPr>
          <w:sz w:val="16"/>
          <w:szCs w:val="16"/>
        </w:rPr>
      </w:pPr>
      <w:r w:rsidRPr="00E233C6">
        <w:rPr>
          <w:noProof/>
          <w:szCs w:val="16"/>
        </w:rPr>
        <w:drawing>
          <wp:inline distT="0" distB="0" distL="0" distR="0">
            <wp:extent cx="5718516" cy="3403608"/>
            <wp:effectExtent l="57150" t="19050" r="110784" b="101592"/>
            <wp:docPr id="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srcRect/>
                    <a:stretch>
                      <a:fillRect/>
                    </a:stretch>
                  </pic:blipFill>
                  <pic:spPr bwMode="auto">
                    <a:xfrm>
                      <a:off x="0" y="0"/>
                      <a:ext cx="5717991" cy="3403295"/>
                    </a:xfrm>
                    <a:prstGeom prst="rect">
                      <a:avLst/>
                    </a:prstGeom>
                    <a:noFill/>
                    <a:ln w="9525">
                      <a:solidFill>
                        <a:schemeClr val="tx2"/>
                      </a:solidFill>
                      <a:miter lim="800000"/>
                      <a:headEnd/>
                      <a:tailEnd/>
                    </a:ln>
                    <a:effectLst>
                      <a:outerShdw blurRad="50800" dist="50800" dir="2700000" algn="tl" rotWithShape="0">
                        <a:prstClr val="black">
                          <a:alpha val="55000"/>
                        </a:prstClr>
                      </a:outerShdw>
                    </a:effectLst>
                  </pic:spPr>
                </pic:pic>
              </a:graphicData>
            </a:graphic>
          </wp:inline>
        </w:drawing>
      </w:r>
      <w:r>
        <w:rPr>
          <w:sz w:val="16"/>
          <w:szCs w:val="16"/>
        </w:rPr>
        <w:t xml:space="preserve">      </w:t>
      </w:r>
    </w:p>
    <w:p w:rsidR="00E233C6" w:rsidRPr="00E233C6" w:rsidRDefault="00E233C6" w:rsidP="00E233C6">
      <w:pPr>
        <w:pStyle w:val="NoSpacing"/>
        <w:rPr>
          <w:sz w:val="16"/>
          <w:szCs w:val="16"/>
        </w:rPr>
      </w:pPr>
      <w:r>
        <w:rPr>
          <w:sz w:val="16"/>
          <w:szCs w:val="16"/>
        </w:rPr>
        <w:t xml:space="preserve">  </w:t>
      </w:r>
      <w:r w:rsidRPr="00E233C6">
        <w:rPr>
          <w:sz w:val="16"/>
          <w:szCs w:val="16"/>
        </w:rPr>
        <w:t>*Denotes high-skill, high-growth industry targeted by the Gulf Coast Workforce Board</w:t>
      </w:r>
    </w:p>
    <w:p w:rsidR="008500AA" w:rsidRDefault="008500AA" w:rsidP="00330385">
      <w:pPr>
        <w:pStyle w:val="NoSpacing"/>
        <w:jc w:val="center"/>
      </w:pPr>
    </w:p>
    <w:p w:rsidR="008500AA" w:rsidRDefault="008500AA" w:rsidP="00E83B99">
      <w:pPr>
        <w:pStyle w:val="NoSpacing"/>
      </w:pPr>
    </w:p>
    <w:p w:rsidR="008500AA" w:rsidRDefault="008500AA" w:rsidP="00E83B99">
      <w:pPr>
        <w:pStyle w:val="NoSpacing"/>
      </w:pPr>
    </w:p>
    <w:p w:rsidR="007B206D" w:rsidRDefault="007B206D" w:rsidP="00330385">
      <w:pPr>
        <w:pStyle w:val="NoSpacing"/>
        <w:rPr>
          <w:b/>
          <w:sz w:val="28"/>
          <w:szCs w:val="28"/>
        </w:rPr>
      </w:pPr>
    </w:p>
    <w:p w:rsidR="007B206D" w:rsidRDefault="007B206D" w:rsidP="00330385">
      <w:pPr>
        <w:pStyle w:val="NoSpacing"/>
        <w:rPr>
          <w:b/>
          <w:sz w:val="28"/>
          <w:szCs w:val="28"/>
        </w:rPr>
      </w:pPr>
    </w:p>
    <w:p w:rsidR="007B206D" w:rsidRDefault="007B206D" w:rsidP="00330385">
      <w:pPr>
        <w:pStyle w:val="NoSpacing"/>
        <w:rPr>
          <w:b/>
          <w:sz w:val="28"/>
          <w:szCs w:val="28"/>
        </w:rPr>
      </w:pPr>
    </w:p>
    <w:p w:rsidR="007B206D" w:rsidRDefault="007B206D" w:rsidP="00330385">
      <w:pPr>
        <w:pStyle w:val="NoSpacing"/>
        <w:rPr>
          <w:b/>
          <w:sz w:val="28"/>
          <w:szCs w:val="28"/>
        </w:rPr>
      </w:pPr>
    </w:p>
    <w:p w:rsidR="007B206D" w:rsidRDefault="007B206D" w:rsidP="00330385">
      <w:pPr>
        <w:pStyle w:val="NoSpacing"/>
        <w:rPr>
          <w:b/>
          <w:sz w:val="28"/>
          <w:szCs w:val="28"/>
        </w:rPr>
      </w:pPr>
    </w:p>
    <w:p w:rsidR="007B206D" w:rsidRDefault="007B206D" w:rsidP="00330385">
      <w:pPr>
        <w:pStyle w:val="NoSpacing"/>
        <w:rPr>
          <w:b/>
          <w:sz w:val="28"/>
          <w:szCs w:val="28"/>
        </w:rPr>
      </w:pPr>
    </w:p>
    <w:p w:rsidR="007B206D" w:rsidRDefault="007B206D" w:rsidP="00330385">
      <w:pPr>
        <w:pStyle w:val="NoSpacing"/>
        <w:rPr>
          <w:b/>
          <w:sz w:val="28"/>
          <w:szCs w:val="28"/>
        </w:rPr>
      </w:pPr>
    </w:p>
    <w:p w:rsidR="00330385" w:rsidRPr="00EA503E" w:rsidRDefault="00330385" w:rsidP="00330385">
      <w:pPr>
        <w:pStyle w:val="NoSpacing"/>
        <w:rPr>
          <w:b/>
          <w:sz w:val="28"/>
          <w:szCs w:val="28"/>
        </w:rPr>
      </w:pPr>
      <w:r w:rsidRPr="00EA503E">
        <w:rPr>
          <w:b/>
          <w:sz w:val="28"/>
          <w:szCs w:val="28"/>
        </w:rPr>
        <w:lastRenderedPageBreak/>
        <w:t>Professional and Technical Services Demographic Trends –</w:t>
      </w:r>
      <w:r w:rsidR="00280076">
        <w:rPr>
          <w:b/>
          <w:sz w:val="28"/>
          <w:szCs w:val="28"/>
        </w:rPr>
        <w:t xml:space="preserve"> Workers by Age Group</w:t>
      </w:r>
    </w:p>
    <w:p w:rsidR="00330385" w:rsidRPr="00C06575" w:rsidRDefault="00330385" w:rsidP="00330385">
      <w:pPr>
        <w:pStyle w:val="NoSpacing"/>
      </w:pPr>
    </w:p>
    <w:p w:rsidR="0042249F" w:rsidRDefault="00C06575" w:rsidP="00330385">
      <w:pPr>
        <w:pStyle w:val="NoSpacing"/>
      </w:pPr>
      <w:r>
        <w:t xml:space="preserve">As is the case for </w:t>
      </w:r>
      <w:r w:rsidR="00217376">
        <w:t>nearly all of the</w:t>
      </w:r>
      <w:r>
        <w:t xml:space="preserve"> Gulf Coast</w:t>
      </w:r>
      <w:r w:rsidR="00217376">
        <w:t>’s sectors</w:t>
      </w:r>
      <w:r>
        <w:t>, Professional and Technical Services</w:t>
      </w:r>
      <w:r w:rsidR="009C425F">
        <w:t xml:space="preserve"> </w:t>
      </w:r>
      <w:r w:rsidR="00217376">
        <w:t>demonstrated</w:t>
      </w:r>
      <w:r>
        <w:t xml:space="preserve"> signs of</w:t>
      </w:r>
      <w:r w:rsidR="00217376">
        <w:t xml:space="preserve"> an</w:t>
      </w:r>
      <w:r>
        <w:t xml:space="preserve"> a</w:t>
      </w:r>
      <w:r w:rsidR="00EA503E">
        <w:t>ging</w:t>
      </w:r>
      <w:r w:rsidR="00217376">
        <w:t xml:space="preserve"> workforce as well</w:t>
      </w:r>
      <w:r w:rsidR="00A875D1">
        <w:t>.</w:t>
      </w:r>
      <w:r w:rsidR="0042249F">
        <w:t xml:space="preserve"> Five age groups</w:t>
      </w:r>
      <w:r w:rsidR="009C425F">
        <w:t xml:space="preserve">* </w:t>
      </w:r>
      <w:r w:rsidR="00854577">
        <w:t>from</w:t>
      </w:r>
      <w:r w:rsidR="0042249F">
        <w:t xml:space="preserve"> </w:t>
      </w:r>
      <w:r w:rsidR="00A875D1">
        <w:t xml:space="preserve">14-18 </w:t>
      </w:r>
      <w:r w:rsidR="00854577">
        <w:t>to</w:t>
      </w:r>
      <w:r w:rsidR="0042249F">
        <w:t xml:space="preserve"> </w:t>
      </w:r>
      <w:r w:rsidR="00A875D1">
        <w:t>35</w:t>
      </w:r>
      <w:r w:rsidR="0042249F">
        <w:t xml:space="preserve">-44 </w:t>
      </w:r>
      <w:r w:rsidR="00854577">
        <w:t>saw their shares of the</w:t>
      </w:r>
      <w:r w:rsidR="0042249F">
        <w:t xml:space="preserve"> sector’s workers decline </w:t>
      </w:r>
      <w:r w:rsidR="009C425F">
        <w:t xml:space="preserve">over the </w:t>
      </w:r>
      <w:r w:rsidR="00217376">
        <w:t>first quarters of</w:t>
      </w:r>
      <w:r w:rsidR="009C425F">
        <w:t xml:space="preserve"> 199</w:t>
      </w:r>
      <w:r w:rsidR="00217376">
        <w:t xml:space="preserve">6, </w:t>
      </w:r>
      <w:r w:rsidR="009C425F">
        <w:t>2005, and</w:t>
      </w:r>
      <w:r w:rsidR="00217376">
        <w:t xml:space="preserve"> </w:t>
      </w:r>
      <w:r w:rsidR="0042249F">
        <w:t>2015. The 25-34 age group saw the largest percentage point decline</w:t>
      </w:r>
      <w:r w:rsidR="009C425F">
        <w:t xml:space="preserve"> at 5.6</w:t>
      </w:r>
      <w:r w:rsidR="0042249F">
        <w:t xml:space="preserve"> followed by the 35-44 group</w:t>
      </w:r>
      <w:r w:rsidR="009C425F">
        <w:t xml:space="preserve"> (-5.5)</w:t>
      </w:r>
      <w:r w:rsidR="0042249F">
        <w:t xml:space="preserve">. The two remaining age groups, 55-64 and 65-99, saw their shares of workers increase over the 19-year period with the 55-64 group </w:t>
      </w:r>
      <w:r w:rsidR="009C425F">
        <w:t xml:space="preserve">experiencing the largest share </w:t>
      </w:r>
      <w:r w:rsidR="00854577">
        <w:t>increase</w:t>
      </w:r>
      <w:r w:rsidR="009C425F">
        <w:t xml:space="preserve"> from</w:t>
      </w:r>
      <w:r w:rsidR="0042249F">
        <w:t xml:space="preserve"> 8 percent to 16 percent</w:t>
      </w:r>
      <w:r w:rsidR="009C425F">
        <w:t>.</w:t>
      </w:r>
      <w:r w:rsidR="006C7FDB">
        <w:t xml:space="preserve"> In short, the share of workers in the 25-44 range fell from aroun</w:t>
      </w:r>
      <w:r w:rsidR="00217376">
        <w:t xml:space="preserve">d 60 percent of the total in the first quarter of </w:t>
      </w:r>
      <w:r w:rsidR="006C7FDB">
        <w:t xml:space="preserve">1996 to 50 percent by </w:t>
      </w:r>
      <w:r w:rsidR="00F77F60">
        <w:t xml:space="preserve">first quarter of </w:t>
      </w:r>
      <w:r w:rsidR="006C7FDB">
        <w:t>2015 while t</w:t>
      </w:r>
      <w:r w:rsidR="00854577">
        <w:t>he share of workers 55-99 grew from approximately 10 percent to 22 percent.</w:t>
      </w:r>
      <w:r w:rsidR="00606C91">
        <w:t xml:space="preserve"> </w:t>
      </w:r>
      <w:proofErr w:type="gramStart"/>
      <w:r w:rsidR="00606C91">
        <w:t>(See Chart 6.)</w:t>
      </w:r>
      <w:proofErr w:type="gramEnd"/>
    </w:p>
    <w:p w:rsidR="00854577" w:rsidRDefault="00854577" w:rsidP="00330385">
      <w:pPr>
        <w:pStyle w:val="NoSpacing"/>
      </w:pPr>
    </w:p>
    <w:p w:rsidR="00C06575" w:rsidRPr="00C06575" w:rsidRDefault="00C06575" w:rsidP="00330385">
      <w:pPr>
        <w:pStyle w:val="NoSpacing"/>
      </w:pPr>
    </w:p>
    <w:p w:rsidR="00330385" w:rsidRDefault="00E233C6" w:rsidP="00FE7B41">
      <w:pPr>
        <w:pStyle w:val="NoSpacing"/>
        <w:jc w:val="center"/>
        <w:rPr>
          <w:sz w:val="32"/>
          <w:szCs w:val="32"/>
        </w:rPr>
      </w:pPr>
      <w:r w:rsidRPr="00E233C6">
        <w:rPr>
          <w:noProof/>
          <w:szCs w:val="32"/>
        </w:rPr>
        <w:drawing>
          <wp:inline distT="0" distB="0" distL="0" distR="0">
            <wp:extent cx="5943600" cy="3750221"/>
            <wp:effectExtent l="57150" t="19050" r="114300" b="97879"/>
            <wp:docPr id="6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srcRect/>
                    <a:stretch>
                      <a:fillRect/>
                    </a:stretch>
                  </pic:blipFill>
                  <pic:spPr bwMode="auto">
                    <a:xfrm>
                      <a:off x="0" y="0"/>
                      <a:ext cx="5943600" cy="3750221"/>
                    </a:xfrm>
                    <a:prstGeom prst="rect">
                      <a:avLst/>
                    </a:prstGeom>
                    <a:noFill/>
                    <a:ln w="9525">
                      <a:solidFill>
                        <a:schemeClr val="tx2"/>
                      </a:solidFill>
                      <a:miter lim="800000"/>
                      <a:headEnd/>
                      <a:tailEnd/>
                    </a:ln>
                    <a:effectLst>
                      <a:outerShdw blurRad="50800" dist="50800" dir="2700000" algn="tl" rotWithShape="0">
                        <a:prstClr val="black">
                          <a:alpha val="55000"/>
                        </a:prstClr>
                      </a:outerShdw>
                    </a:effectLst>
                  </pic:spPr>
                </pic:pic>
              </a:graphicData>
            </a:graphic>
          </wp:inline>
        </w:drawing>
      </w:r>
    </w:p>
    <w:p w:rsidR="00AC27F7" w:rsidRPr="00EA503E" w:rsidRDefault="00E233C6" w:rsidP="00E233C6">
      <w:pPr>
        <w:pStyle w:val="NoSpacing"/>
        <w:rPr>
          <w:sz w:val="16"/>
          <w:szCs w:val="16"/>
        </w:rPr>
      </w:pPr>
      <w:r>
        <w:rPr>
          <w:sz w:val="16"/>
          <w:szCs w:val="16"/>
        </w:rPr>
        <w:t xml:space="preserve">   </w:t>
      </w:r>
      <w:r w:rsidR="00A875D1" w:rsidRPr="00EA503E">
        <w:rPr>
          <w:sz w:val="16"/>
          <w:szCs w:val="16"/>
        </w:rPr>
        <w:t xml:space="preserve">* </w:t>
      </w:r>
      <w:r>
        <w:rPr>
          <w:sz w:val="16"/>
          <w:szCs w:val="16"/>
        </w:rPr>
        <w:t>Age groups</w:t>
      </w:r>
      <w:r w:rsidR="00A875D1" w:rsidRPr="00EA503E">
        <w:rPr>
          <w:sz w:val="16"/>
          <w:szCs w:val="16"/>
        </w:rPr>
        <w:t xml:space="preserve"> 14-18 and 19-21 not shown.</w:t>
      </w:r>
    </w:p>
    <w:p w:rsidR="00EA503E" w:rsidRDefault="00EA503E" w:rsidP="00A875D1">
      <w:pPr>
        <w:pStyle w:val="NoSpacing"/>
        <w:jc w:val="center"/>
      </w:pPr>
    </w:p>
    <w:p w:rsidR="007B206D" w:rsidRDefault="007B206D" w:rsidP="00EA503E">
      <w:pPr>
        <w:pStyle w:val="NoSpacing"/>
        <w:rPr>
          <w:b/>
          <w:sz w:val="28"/>
          <w:szCs w:val="28"/>
        </w:rPr>
      </w:pPr>
    </w:p>
    <w:p w:rsidR="007B206D" w:rsidRDefault="007B206D" w:rsidP="00EA503E">
      <w:pPr>
        <w:pStyle w:val="NoSpacing"/>
        <w:rPr>
          <w:b/>
          <w:sz w:val="28"/>
          <w:szCs w:val="28"/>
        </w:rPr>
      </w:pPr>
    </w:p>
    <w:p w:rsidR="007B206D" w:rsidRDefault="007B206D" w:rsidP="00EA503E">
      <w:pPr>
        <w:pStyle w:val="NoSpacing"/>
        <w:rPr>
          <w:b/>
          <w:sz w:val="28"/>
          <w:szCs w:val="28"/>
        </w:rPr>
      </w:pPr>
    </w:p>
    <w:p w:rsidR="007B206D" w:rsidRDefault="007B206D" w:rsidP="00EA503E">
      <w:pPr>
        <w:pStyle w:val="NoSpacing"/>
        <w:rPr>
          <w:b/>
          <w:sz w:val="28"/>
          <w:szCs w:val="28"/>
        </w:rPr>
      </w:pPr>
    </w:p>
    <w:p w:rsidR="007B206D" w:rsidRDefault="007B206D" w:rsidP="00EA503E">
      <w:pPr>
        <w:pStyle w:val="NoSpacing"/>
        <w:rPr>
          <w:b/>
          <w:sz w:val="28"/>
          <w:szCs w:val="28"/>
        </w:rPr>
      </w:pPr>
    </w:p>
    <w:p w:rsidR="007B206D" w:rsidRDefault="007B206D" w:rsidP="00EA503E">
      <w:pPr>
        <w:pStyle w:val="NoSpacing"/>
        <w:rPr>
          <w:b/>
          <w:sz w:val="28"/>
          <w:szCs w:val="28"/>
        </w:rPr>
      </w:pPr>
    </w:p>
    <w:p w:rsidR="00EA503E" w:rsidRPr="00EA503E" w:rsidRDefault="007B206D" w:rsidP="00EA503E">
      <w:pPr>
        <w:pStyle w:val="NoSpacing"/>
        <w:rPr>
          <w:b/>
          <w:sz w:val="28"/>
          <w:szCs w:val="28"/>
        </w:rPr>
      </w:pPr>
      <w:r>
        <w:rPr>
          <w:b/>
          <w:sz w:val="28"/>
          <w:szCs w:val="28"/>
        </w:rPr>
        <w:lastRenderedPageBreak/>
        <w:t xml:space="preserve">Top-10 </w:t>
      </w:r>
      <w:r w:rsidR="00EA503E">
        <w:rPr>
          <w:b/>
          <w:sz w:val="28"/>
          <w:szCs w:val="28"/>
        </w:rPr>
        <w:t xml:space="preserve">Largest </w:t>
      </w:r>
      <w:r w:rsidR="00EA503E" w:rsidRPr="00EA503E">
        <w:rPr>
          <w:b/>
          <w:sz w:val="28"/>
          <w:szCs w:val="28"/>
        </w:rPr>
        <w:t xml:space="preserve">Professional and Technical Services </w:t>
      </w:r>
      <w:r w:rsidR="00EA503E">
        <w:rPr>
          <w:b/>
          <w:sz w:val="28"/>
          <w:szCs w:val="28"/>
        </w:rPr>
        <w:t>Occupations</w:t>
      </w:r>
      <w:r>
        <w:rPr>
          <w:b/>
          <w:sz w:val="28"/>
          <w:szCs w:val="28"/>
        </w:rPr>
        <w:t xml:space="preserve"> – Relative Size, Education, Projected Growth, and Wages</w:t>
      </w:r>
    </w:p>
    <w:p w:rsidR="00EA503E" w:rsidRDefault="00EA503E" w:rsidP="00EA503E">
      <w:pPr>
        <w:pStyle w:val="NoSpacing"/>
      </w:pPr>
    </w:p>
    <w:p w:rsidR="00EA503E" w:rsidRDefault="00EA503E" w:rsidP="00EA503E">
      <w:pPr>
        <w:pStyle w:val="NoSpacing"/>
      </w:pPr>
      <w:r>
        <w:t xml:space="preserve">While roughly one-third of all Professional and Technical employment </w:t>
      </w:r>
      <w:r w:rsidR="00FB04F1">
        <w:t xml:space="preserve">could </w:t>
      </w:r>
      <w:r>
        <w:t xml:space="preserve">be found </w:t>
      </w:r>
      <w:r w:rsidR="00FB04F1">
        <w:t>among</w:t>
      </w:r>
      <w:r>
        <w:t xml:space="preserve"> Architecture and Engineering firms</w:t>
      </w:r>
      <w:r w:rsidR="00FB04F1">
        <w:t xml:space="preserve">, </w:t>
      </w:r>
      <w:r>
        <w:t>the largest occupation</w:t>
      </w:r>
      <w:r w:rsidR="00FB04F1">
        <w:t xml:space="preserve">s in this sector reflected a wider range of functions than just engineering. Accountants and Auditors proved to be the most </w:t>
      </w:r>
      <w:r w:rsidR="00D42EDF">
        <w:t>common</w:t>
      </w:r>
      <w:r w:rsidR="00FB04F1">
        <w:t xml:space="preserve"> Professional and Technical occupation comprising 5.8 percent of employment. Overall, the top</w:t>
      </w:r>
      <w:r w:rsidR="00E73A17">
        <w:t>-</w:t>
      </w:r>
      <w:r w:rsidR="00FB04F1">
        <w:t>10 largest occupations could be divided into those requiring extensive education, training, and experience (e.g. Lawyers,</w:t>
      </w:r>
      <w:r w:rsidR="00E73A17">
        <w:t xml:space="preserve"> Accountants,</w:t>
      </w:r>
      <w:r w:rsidR="00FB04F1">
        <w:t xml:space="preserve"> Civil Engineers,</w:t>
      </w:r>
      <w:r w:rsidR="00E73A17">
        <w:t xml:space="preserve"> Managers</w:t>
      </w:r>
      <w:r w:rsidR="00FB04F1">
        <w:t xml:space="preserve"> etc.) and those requiring  </w:t>
      </w:r>
      <w:r w:rsidR="00E73A17">
        <w:t>comparatively less education, in many cases just a high school diploma and on-the-job-training (e.g</w:t>
      </w:r>
      <w:r w:rsidR="007B206D">
        <w:t>.</w:t>
      </w:r>
      <w:r w:rsidR="00E73A17">
        <w:t xml:space="preserve"> Office Clerks, Bookkeepers, Secretaries</w:t>
      </w:r>
      <w:r w:rsidR="00EB510E">
        <w:t>). Among the top 10, only Architectural and Civil Drafters and Paralegals and Legal Assistants</w:t>
      </w:r>
      <w:r w:rsidR="007B206D">
        <w:t xml:space="preserve"> could be considered</w:t>
      </w:r>
      <w:r w:rsidR="00EB510E">
        <w:t xml:space="preserve"> “middle-skills’ occupations given that they typically require an Associate’s degree</w:t>
      </w:r>
      <w:r w:rsidR="007B206D">
        <w:t xml:space="preserve"> however their projected growth rate</w:t>
      </w:r>
      <w:r w:rsidR="00F77F60">
        <w:t>s</w:t>
      </w:r>
      <w:r w:rsidR="007B206D">
        <w:t xml:space="preserve"> were substantially different as will be seen </w:t>
      </w:r>
      <w:r w:rsidR="00F77F60">
        <w:t>below</w:t>
      </w:r>
      <w:r w:rsidR="00EB510E">
        <w:t>.</w:t>
      </w:r>
      <w:r w:rsidR="00606C91">
        <w:t xml:space="preserve"> </w:t>
      </w:r>
      <w:proofErr w:type="gramStart"/>
      <w:r w:rsidR="00606C91">
        <w:t>(See Chart 7</w:t>
      </w:r>
      <w:r w:rsidR="00B23E52">
        <w:t>.)</w:t>
      </w:r>
      <w:proofErr w:type="gramEnd"/>
      <w:r w:rsidR="00E73A17">
        <w:t xml:space="preserve"> </w:t>
      </w:r>
    </w:p>
    <w:p w:rsidR="00EB510E" w:rsidRDefault="00EB510E" w:rsidP="00EA503E">
      <w:pPr>
        <w:pStyle w:val="NoSpacing"/>
      </w:pPr>
    </w:p>
    <w:p w:rsidR="00B23E52" w:rsidRDefault="00B23E52" w:rsidP="00EA503E">
      <w:pPr>
        <w:pStyle w:val="NoSpacing"/>
      </w:pPr>
    </w:p>
    <w:p w:rsidR="00EB510E" w:rsidRDefault="00DF67E8" w:rsidP="00EB510E">
      <w:pPr>
        <w:pStyle w:val="NoSpacing"/>
        <w:jc w:val="center"/>
      </w:pPr>
      <w:r w:rsidRPr="00DF67E8">
        <w:rPr>
          <w:noProof/>
        </w:rPr>
        <w:drawing>
          <wp:inline distT="0" distB="0" distL="0" distR="0">
            <wp:extent cx="5645989" cy="3597417"/>
            <wp:effectExtent l="57150" t="19050" r="107111" b="98283"/>
            <wp:docPr id="5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5653052" cy="3601917"/>
                    </a:xfrm>
                    <a:prstGeom prst="rect">
                      <a:avLst/>
                    </a:prstGeom>
                    <a:noFill/>
                    <a:ln w="9525">
                      <a:solidFill>
                        <a:schemeClr val="tx2"/>
                      </a:solidFill>
                      <a:miter lim="800000"/>
                      <a:headEnd/>
                      <a:tailEnd/>
                    </a:ln>
                    <a:effectLst>
                      <a:outerShdw blurRad="50800" dist="50800" dir="2700000" algn="tl" rotWithShape="0">
                        <a:prstClr val="black">
                          <a:alpha val="55000"/>
                        </a:prstClr>
                      </a:outerShdw>
                    </a:effectLst>
                  </pic:spPr>
                </pic:pic>
              </a:graphicData>
            </a:graphic>
          </wp:inline>
        </w:drawing>
      </w:r>
    </w:p>
    <w:p w:rsidR="00DF67E8" w:rsidRPr="001534BA" w:rsidRDefault="00E233C6" w:rsidP="00DF67E8">
      <w:pPr>
        <w:pStyle w:val="NoSpacing"/>
        <w:rPr>
          <w:sz w:val="16"/>
          <w:szCs w:val="16"/>
        </w:rPr>
      </w:pPr>
      <w:r>
        <w:rPr>
          <w:sz w:val="16"/>
          <w:szCs w:val="16"/>
        </w:rPr>
        <w:t xml:space="preserve">     </w:t>
      </w:r>
      <w:r w:rsidR="00DF67E8" w:rsidRPr="001534BA">
        <w:rPr>
          <w:sz w:val="16"/>
          <w:szCs w:val="16"/>
        </w:rPr>
        <w:t>*Denotes high-skill, high-growth occupation targeted by th</w:t>
      </w:r>
      <w:r w:rsidR="00DF67E8">
        <w:rPr>
          <w:sz w:val="16"/>
          <w:szCs w:val="16"/>
        </w:rPr>
        <w:t>e Gulf Coast Workforce Board</w:t>
      </w:r>
    </w:p>
    <w:p w:rsidR="007B206D" w:rsidRDefault="007B206D" w:rsidP="00EB510E">
      <w:pPr>
        <w:pStyle w:val="NoSpacing"/>
        <w:jc w:val="center"/>
      </w:pPr>
    </w:p>
    <w:p w:rsidR="00B23E52" w:rsidRDefault="00B23E52" w:rsidP="00EB510E">
      <w:pPr>
        <w:pStyle w:val="NoSpacing"/>
        <w:jc w:val="center"/>
      </w:pPr>
    </w:p>
    <w:p w:rsidR="00413D5E" w:rsidRDefault="00413D5E" w:rsidP="007B206D">
      <w:pPr>
        <w:pStyle w:val="NoSpacing"/>
      </w:pPr>
    </w:p>
    <w:p w:rsidR="00413D5E" w:rsidRDefault="00413D5E" w:rsidP="007B206D">
      <w:pPr>
        <w:pStyle w:val="NoSpacing"/>
      </w:pPr>
    </w:p>
    <w:p w:rsidR="00413D5E" w:rsidRDefault="00413D5E" w:rsidP="007B206D">
      <w:pPr>
        <w:pStyle w:val="NoSpacing"/>
      </w:pPr>
    </w:p>
    <w:p w:rsidR="00413D5E" w:rsidRDefault="00413D5E" w:rsidP="007B206D">
      <w:pPr>
        <w:pStyle w:val="NoSpacing"/>
      </w:pPr>
    </w:p>
    <w:p w:rsidR="00413D5E" w:rsidRDefault="00413D5E" w:rsidP="007B206D">
      <w:pPr>
        <w:pStyle w:val="NoSpacing"/>
      </w:pPr>
    </w:p>
    <w:p w:rsidR="00413D5E" w:rsidRDefault="00413D5E" w:rsidP="007B206D">
      <w:pPr>
        <w:pStyle w:val="NoSpacing"/>
      </w:pPr>
    </w:p>
    <w:p w:rsidR="00611B92" w:rsidRDefault="003D0040" w:rsidP="007B206D">
      <w:pPr>
        <w:pStyle w:val="NoSpacing"/>
      </w:pPr>
      <w:r>
        <w:lastRenderedPageBreak/>
        <w:t>Among the top-10 largest Professional and Technical occupations</w:t>
      </w:r>
      <w:r w:rsidR="005B7264">
        <w:t xml:space="preserve">, </w:t>
      </w:r>
      <w:r>
        <w:t>long-term projected growth</w:t>
      </w:r>
      <w:r w:rsidR="00611B92">
        <w:t xml:space="preserve"> </w:t>
      </w:r>
      <w:r w:rsidR="00F77F60">
        <w:t>generally</w:t>
      </w:r>
      <w:r>
        <w:t xml:space="preserve"> reflected the educational attainment dynamics noted above. </w:t>
      </w:r>
      <w:r w:rsidR="00F77F60">
        <w:t xml:space="preserve">Overall, the </w:t>
      </w:r>
      <w:r>
        <w:t>occupations requiring relatively more education were projected to grow the fastest with Civil Engineers poised to increase by 39.9 percent between 2012 and 2022.</w:t>
      </w:r>
      <w:r w:rsidR="00611B92">
        <w:t xml:space="preserve"> Lawyers were the only occupation requiring a significantly higher than average level of education while posting a projected growth rate virtually identical to the average for all occupations. The three clerical occupations noted previously are predicted to have slower than average yet respectable growth rates of roughly 19 percent to 21 percent. Of the top-10 largest occupations only Architectural and Civil Drafters were projected to grow substantially slower than average at 4.6 percent compared to an overall average of 23.8 percent over the 10-year period.</w:t>
      </w:r>
      <w:r w:rsidR="00B23E52">
        <w:t xml:space="preserve"> </w:t>
      </w:r>
      <w:proofErr w:type="gramStart"/>
      <w:r w:rsidR="00B23E52">
        <w:t>(See Chart 9.)</w:t>
      </w:r>
      <w:proofErr w:type="gramEnd"/>
    </w:p>
    <w:p w:rsidR="00611B92" w:rsidRDefault="00611B92" w:rsidP="007B206D">
      <w:pPr>
        <w:pStyle w:val="NoSpacing"/>
      </w:pPr>
    </w:p>
    <w:p w:rsidR="00413D5E" w:rsidRDefault="001534BA" w:rsidP="001534BA">
      <w:pPr>
        <w:pStyle w:val="NoSpacing"/>
        <w:jc w:val="center"/>
      </w:pPr>
      <w:r w:rsidRPr="001534BA">
        <w:rPr>
          <w:noProof/>
        </w:rPr>
        <w:drawing>
          <wp:inline distT="0" distB="0" distL="0" distR="0">
            <wp:extent cx="5663874" cy="3608813"/>
            <wp:effectExtent l="57150" t="19050" r="108276" b="86887"/>
            <wp:docPr id="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5667207" cy="3610936"/>
                    </a:xfrm>
                    <a:prstGeom prst="rect">
                      <a:avLst/>
                    </a:prstGeom>
                    <a:noFill/>
                    <a:ln w="9525">
                      <a:solidFill>
                        <a:schemeClr val="tx2"/>
                      </a:solidFill>
                      <a:miter lim="800000"/>
                      <a:headEnd/>
                      <a:tailEnd/>
                    </a:ln>
                    <a:effectLst>
                      <a:outerShdw blurRad="50800" dist="50800" dir="2700000" algn="tl" rotWithShape="0">
                        <a:prstClr val="black">
                          <a:alpha val="55000"/>
                        </a:prstClr>
                      </a:outerShdw>
                    </a:effectLst>
                  </pic:spPr>
                </pic:pic>
              </a:graphicData>
            </a:graphic>
          </wp:inline>
        </w:drawing>
      </w:r>
    </w:p>
    <w:p w:rsidR="001534BA" w:rsidRPr="001534BA" w:rsidRDefault="00E233C6" w:rsidP="001534BA">
      <w:pPr>
        <w:pStyle w:val="NoSpacing"/>
        <w:rPr>
          <w:sz w:val="16"/>
          <w:szCs w:val="16"/>
        </w:rPr>
      </w:pPr>
      <w:r>
        <w:rPr>
          <w:sz w:val="16"/>
          <w:szCs w:val="16"/>
        </w:rPr>
        <w:t xml:space="preserve">    </w:t>
      </w:r>
      <w:r w:rsidR="001534BA" w:rsidRPr="001534BA">
        <w:rPr>
          <w:sz w:val="16"/>
          <w:szCs w:val="16"/>
        </w:rPr>
        <w:t>*Denotes high-skill, high-growth occupation targeted by th</w:t>
      </w:r>
      <w:r w:rsidR="001534BA">
        <w:rPr>
          <w:sz w:val="16"/>
          <w:szCs w:val="16"/>
        </w:rPr>
        <w:t>e Gulf Coast Workforce Board</w:t>
      </w:r>
    </w:p>
    <w:p w:rsidR="00413D5E" w:rsidRDefault="00413D5E" w:rsidP="008843D1">
      <w:pPr>
        <w:pStyle w:val="NoSpacing"/>
      </w:pPr>
    </w:p>
    <w:p w:rsidR="00413D5E" w:rsidRDefault="00413D5E" w:rsidP="008843D1">
      <w:pPr>
        <w:pStyle w:val="NoSpacing"/>
      </w:pPr>
    </w:p>
    <w:p w:rsidR="00413D5E" w:rsidRDefault="00413D5E" w:rsidP="008843D1">
      <w:pPr>
        <w:pStyle w:val="NoSpacing"/>
      </w:pPr>
    </w:p>
    <w:p w:rsidR="00413D5E" w:rsidRDefault="00413D5E" w:rsidP="008843D1">
      <w:pPr>
        <w:pStyle w:val="NoSpacing"/>
      </w:pPr>
    </w:p>
    <w:p w:rsidR="00413D5E" w:rsidRDefault="00413D5E" w:rsidP="008843D1">
      <w:pPr>
        <w:pStyle w:val="NoSpacing"/>
      </w:pPr>
    </w:p>
    <w:p w:rsidR="00413D5E" w:rsidRDefault="00413D5E" w:rsidP="008843D1">
      <w:pPr>
        <w:pStyle w:val="NoSpacing"/>
      </w:pPr>
    </w:p>
    <w:p w:rsidR="00413D5E" w:rsidRDefault="00413D5E" w:rsidP="008843D1">
      <w:pPr>
        <w:pStyle w:val="NoSpacing"/>
      </w:pPr>
    </w:p>
    <w:p w:rsidR="00413D5E" w:rsidRDefault="00413D5E" w:rsidP="008843D1">
      <w:pPr>
        <w:pStyle w:val="NoSpacing"/>
      </w:pPr>
    </w:p>
    <w:p w:rsidR="00413D5E" w:rsidRDefault="00413D5E" w:rsidP="008843D1">
      <w:pPr>
        <w:pStyle w:val="NoSpacing"/>
      </w:pPr>
    </w:p>
    <w:p w:rsidR="00413D5E" w:rsidRDefault="00413D5E" w:rsidP="008843D1">
      <w:pPr>
        <w:pStyle w:val="NoSpacing"/>
      </w:pPr>
    </w:p>
    <w:p w:rsidR="00413D5E" w:rsidRDefault="00413D5E" w:rsidP="008843D1">
      <w:pPr>
        <w:pStyle w:val="NoSpacing"/>
      </w:pPr>
    </w:p>
    <w:p w:rsidR="00413D5E" w:rsidRDefault="00413D5E" w:rsidP="008843D1">
      <w:pPr>
        <w:pStyle w:val="NoSpacing"/>
      </w:pPr>
    </w:p>
    <w:p w:rsidR="008843D1" w:rsidRDefault="008843D1" w:rsidP="008843D1">
      <w:pPr>
        <w:pStyle w:val="NoSpacing"/>
      </w:pPr>
      <w:r>
        <w:lastRenderedPageBreak/>
        <w:t>Regarding wages among the top-10 largest Professional and Technical occupations, this dimension showed the strongest direct relationship to educational attainment of those examined thus far. As the only occupation of the group requiring a doctoral or professional degree, Lawyers had the highest average annual wage at $162,057.</w:t>
      </w:r>
      <w:r w:rsidR="00F77F60">
        <w:t xml:space="preserve"> The wage-education dynamic</w:t>
      </w:r>
      <w:r w:rsidR="00413D5E">
        <w:t xml:space="preserve"> continued with the two occupations requiring Associate’s degrees (Architectural and Civil Drafters and Paralegals) both earning more than </w:t>
      </w:r>
      <w:r w:rsidR="00F77F60">
        <w:t xml:space="preserve">the </w:t>
      </w:r>
      <w:r w:rsidR="00413D5E">
        <w:t xml:space="preserve">average for all occupations at $50,612 per year while the three clerical roles </w:t>
      </w:r>
      <w:r w:rsidR="00F77F60">
        <w:t>earned wages</w:t>
      </w:r>
      <w:r w:rsidR="00413D5E">
        <w:t xml:space="preserve"> s</w:t>
      </w:r>
      <w:r w:rsidR="00F77F60">
        <w:t>ignificantly below the average</w:t>
      </w:r>
      <w:r w:rsidR="00413D5E">
        <w:t xml:space="preserve">. </w:t>
      </w:r>
      <w:proofErr w:type="gramStart"/>
      <w:r w:rsidR="00413D5E">
        <w:t xml:space="preserve">(See Chart </w:t>
      </w:r>
      <w:r w:rsidR="00DF67E8">
        <w:t>9</w:t>
      </w:r>
      <w:r w:rsidR="00413D5E">
        <w:t>.)</w:t>
      </w:r>
      <w:proofErr w:type="gramEnd"/>
    </w:p>
    <w:p w:rsidR="00611B92" w:rsidRDefault="00611B92" w:rsidP="007B206D">
      <w:pPr>
        <w:pStyle w:val="NoSpacing"/>
      </w:pPr>
    </w:p>
    <w:p w:rsidR="00611B92" w:rsidRDefault="00DF67E8" w:rsidP="008843D1">
      <w:pPr>
        <w:pStyle w:val="NoSpacing"/>
        <w:jc w:val="center"/>
      </w:pPr>
      <w:r w:rsidRPr="00DF67E8">
        <w:rPr>
          <w:noProof/>
        </w:rPr>
        <w:drawing>
          <wp:inline distT="0" distB="0" distL="0" distR="0">
            <wp:extent cx="5861225" cy="3749510"/>
            <wp:effectExtent l="57150" t="19050" r="120475" b="98590"/>
            <wp:docPr id="6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cstate="print"/>
                    <a:srcRect/>
                    <a:stretch>
                      <a:fillRect/>
                    </a:stretch>
                  </pic:blipFill>
                  <pic:spPr bwMode="auto">
                    <a:xfrm>
                      <a:off x="0" y="0"/>
                      <a:ext cx="5859525" cy="3748423"/>
                    </a:xfrm>
                    <a:prstGeom prst="rect">
                      <a:avLst/>
                    </a:prstGeom>
                    <a:noFill/>
                    <a:ln w="9525">
                      <a:solidFill>
                        <a:schemeClr val="tx2"/>
                      </a:solidFill>
                      <a:miter lim="800000"/>
                      <a:headEnd/>
                      <a:tailEnd/>
                    </a:ln>
                    <a:effectLst>
                      <a:outerShdw blurRad="50800" dist="50800" dir="2700000" algn="tl" rotWithShape="0">
                        <a:prstClr val="black">
                          <a:alpha val="55000"/>
                        </a:prstClr>
                      </a:outerShdw>
                    </a:effectLst>
                  </pic:spPr>
                </pic:pic>
              </a:graphicData>
            </a:graphic>
          </wp:inline>
        </w:drawing>
      </w:r>
    </w:p>
    <w:p w:rsidR="00E233C6" w:rsidRPr="001534BA" w:rsidRDefault="003D0040" w:rsidP="00E233C6">
      <w:pPr>
        <w:pStyle w:val="NoSpacing"/>
        <w:rPr>
          <w:sz w:val="16"/>
          <w:szCs w:val="16"/>
        </w:rPr>
      </w:pPr>
      <w:r>
        <w:t xml:space="preserve">  </w:t>
      </w:r>
      <w:r w:rsidR="005B7264">
        <w:t xml:space="preserve">  </w:t>
      </w:r>
      <w:r w:rsidR="00E233C6" w:rsidRPr="001534BA">
        <w:rPr>
          <w:sz w:val="16"/>
          <w:szCs w:val="16"/>
        </w:rPr>
        <w:t>*Denotes high-skill, high-growth occupation targeted by th</w:t>
      </w:r>
      <w:r w:rsidR="00E233C6">
        <w:rPr>
          <w:sz w:val="16"/>
          <w:szCs w:val="16"/>
        </w:rPr>
        <w:t>e Gulf Coast Workforce Board</w:t>
      </w:r>
    </w:p>
    <w:p w:rsidR="007B206D" w:rsidRDefault="007B206D" w:rsidP="007B206D">
      <w:pPr>
        <w:pStyle w:val="NoSpacing"/>
      </w:pPr>
    </w:p>
    <w:p w:rsidR="007D68E4" w:rsidRDefault="007D68E4" w:rsidP="007B206D">
      <w:pPr>
        <w:pStyle w:val="NoSpacing"/>
      </w:pPr>
    </w:p>
    <w:p w:rsidR="007D68E4" w:rsidRDefault="007D68E4" w:rsidP="007B206D">
      <w:pPr>
        <w:pStyle w:val="NoSpacing"/>
      </w:pPr>
    </w:p>
    <w:p w:rsidR="007D68E4" w:rsidRDefault="007D68E4" w:rsidP="007B206D">
      <w:pPr>
        <w:pStyle w:val="NoSpacing"/>
      </w:pPr>
    </w:p>
    <w:p w:rsidR="007D68E4" w:rsidRDefault="007D68E4" w:rsidP="007B206D">
      <w:pPr>
        <w:pStyle w:val="NoSpacing"/>
      </w:pPr>
    </w:p>
    <w:p w:rsidR="007D68E4" w:rsidRDefault="007D68E4" w:rsidP="007B206D">
      <w:pPr>
        <w:pStyle w:val="NoSpacing"/>
      </w:pPr>
    </w:p>
    <w:p w:rsidR="007D68E4" w:rsidRDefault="007D68E4" w:rsidP="007B206D">
      <w:pPr>
        <w:pStyle w:val="NoSpacing"/>
      </w:pPr>
    </w:p>
    <w:p w:rsidR="007D68E4" w:rsidRDefault="007D68E4" w:rsidP="007B206D">
      <w:pPr>
        <w:pStyle w:val="NoSpacing"/>
      </w:pPr>
    </w:p>
    <w:p w:rsidR="007D68E4" w:rsidRDefault="007D68E4" w:rsidP="007B206D">
      <w:pPr>
        <w:pStyle w:val="NoSpacing"/>
      </w:pPr>
    </w:p>
    <w:p w:rsidR="007D68E4" w:rsidRDefault="007D68E4" w:rsidP="007B206D">
      <w:pPr>
        <w:pStyle w:val="NoSpacing"/>
      </w:pPr>
    </w:p>
    <w:p w:rsidR="007D68E4" w:rsidRDefault="007D68E4" w:rsidP="007B206D">
      <w:pPr>
        <w:pStyle w:val="NoSpacing"/>
      </w:pPr>
    </w:p>
    <w:p w:rsidR="007D68E4" w:rsidRDefault="007D68E4" w:rsidP="007B206D">
      <w:pPr>
        <w:pStyle w:val="NoSpacing"/>
      </w:pPr>
    </w:p>
    <w:p w:rsidR="007D68E4" w:rsidRDefault="007D68E4" w:rsidP="007B206D">
      <w:pPr>
        <w:pStyle w:val="NoSpacing"/>
      </w:pPr>
    </w:p>
    <w:p w:rsidR="007D68E4" w:rsidRDefault="007D68E4" w:rsidP="007B206D">
      <w:pPr>
        <w:pStyle w:val="NoSpacing"/>
      </w:pPr>
    </w:p>
    <w:p w:rsidR="007D68E4" w:rsidRPr="00BC0F2B" w:rsidRDefault="001534BA" w:rsidP="00E233C6">
      <w:pPr>
        <w:pStyle w:val="NoSpacing"/>
        <w:jc w:val="center"/>
      </w:pPr>
      <w:r>
        <w:rPr>
          <w:b/>
          <w:noProof/>
          <w:sz w:val="20"/>
          <w:szCs w:val="20"/>
        </w:rPr>
        <w:lastRenderedPageBreak/>
        <w:drawing>
          <wp:anchor distT="0" distB="0" distL="114300" distR="114300" simplePos="0" relativeHeight="251658240" behindDoc="0" locked="0" layoutInCell="1" allowOverlap="1">
            <wp:simplePos x="0" y="0"/>
            <wp:positionH relativeFrom="column">
              <wp:posOffset>-7620</wp:posOffset>
            </wp:positionH>
            <wp:positionV relativeFrom="paragraph">
              <wp:posOffset>311785</wp:posOffset>
            </wp:positionV>
            <wp:extent cx="5904230" cy="7738745"/>
            <wp:effectExtent l="19050" t="0" r="1270" b="0"/>
            <wp:wrapSquare wrapText="bothSides"/>
            <wp:docPr id="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srcRect/>
                    <a:stretch>
                      <a:fillRect/>
                    </a:stretch>
                  </pic:blipFill>
                  <pic:spPr bwMode="auto">
                    <a:xfrm>
                      <a:off x="0" y="0"/>
                      <a:ext cx="5904230" cy="7738745"/>
                    </a:xfrm>
                    <a:prstGeom prst="rect">
                      <a:avLst/>
                    </a:prstGeom>
                    <a:noFill/>
                    <a:ln w="9525">
                      <a:noFill/>
                      <a:miter lim="800000"/>
                      <a:headEnd/>
                      <a:tailEnd/>
                    </a:ln>
                  </pic:spPr>
                </pic:pic>
              </a:graphicData>
            </a:graphic>
          </wp:anchor>
        </w:drawing>
      </w:r>
      <w:proofErr w:type="gramStart"/>
      <w:r w:rsidR="007D68E4" w:rsidRPr="001534BA">
        <w:rPr>
          <w:b/>
          <w:sz w:val="20"/>
          <w:szCs w:val="20"/>
        </w:rPr>
        <w:t>Table 1.</w:t>
      </w:r>
      <w:proofErr w:type="gramEnd"/>
      <w:r w:rsidR="007D68E4" w:rsidRPr="001534BA">
        <w:rPr>
          <w:b/>
          <w:sz w:val="20"/>
          <w:szCs w:val="20"/>
        </w:rPr>
        <w:t xml:space="preserve"> Top-50 Largest Professional and Technical Services Occupations – Employment Projections 2012-2022, Annual Wages 2014</w:t>
      </w:r>
    </w:p>
    <w:sectPr w:rsidR="007D68E4" w:rsidRPr="00BC0F2B" w:rsidSect="001C796D">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278E" w:rsidRDefault="00B8278E" w:rsidP="007500B3">
      <w:pPr>
        <w:spacing w:after="0" w:line="240" w:lineRule="auto"/>
      </w:pPr>
      <w:r>
        <w:separator/>
      </w:r>
    </w:p>
  </w:endnote>
  <w:endnote w:type="continuationSeparator" w:id="0">
    <w:p w:rsidR="00B8278E" w:rsidRDefault="00B8278E" w:rsidP="007500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ill Sans">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B60" w:rsidRDefault="00157B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872" w:rsidRDefault="00DB267D" w:rsidP="00E94B4F">
    <w:pPr>
      <w:pStyle w:val="Footer"/>
    </w:pPr>
    <w:fldSimple w:instr=" PAGE   \* MERGEFORMAT ">
      <w:r w:rsidR="00BF19A5" w:rsidRPr="00BF19A5">
        <w:rPr>
          <w:b/>
          <w:noProof/>
        </w:rPr>
        <w:t>14</w:t>
      </w:r>
    </w:fldSimple>
    <w:r w:rsidR="00800872">
      <w:rPr>
        <w:b/>
      </w:rPr>
      <w:t xml:space="preserve"> </w:t>
    </w:r>
    <w:r w:rsidR="00800872">
      <w:t>|</w:t>
    </w:r>
    <w:r w:rsidR="00800872">
      <w:rPr>
        <w:b/>
      </w:rPr>
      <w:t xml:space="preserve"> </w:t>
    </w:r>
    <w:r w:rsidR="00800872">
      <w:rPr>
        <w:color w:val="7F7F7F" w:themeColor="background1" w:themeShade="7F"/>
        <w:spacing w:val="60"/>
      </w:rPr>
      <w:t>Page</w:t>
    </w:r>
    <w:r w:rsidR="00800872">
      <w:rPr>
        <w:color w:val="7F7F7F" w:themeColor="background1" w:themeShade="7F"/>
        <w:spacing w:val="60"/>
      </w:rPr>
      <w:tab/>
    </w:r>
    <w:r w:rsidR="00800872">
      <w:rPr>
        <w:color w:val="7F7F7F" w:themeColor="background1" w:themeShade="7F"/>
        <w:spacing w:val="60"/>
      </w:rPr>
      <w:tab/>
    </w:r>
    <w:r w:rsidR="00800872">
      <w:rPr>
        <w:noProof/>
      </w:rPr>
      <w:drawing>
        <wp:inline distT="0" distB="0" distL="0" distR="0">
          <wp:extent cx="1519177" cy="400050"/>
          <wp:effectExtent l="19050" t="0" r="4823" b="0"/>
          <wp:docPr id="52" name="Picture 0" descr="WS-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logo-color.jpg"/>
                  <pic:cNvPicPr/>
                </pic:nvPicPr>
                <pic:blipFill>
                  <a:blip r:embed="rId1"/>
                  <a:stretch>
                    <a:fillRect/>
                  </a:stretch>
                </pic:blipFill>
                <pic:spPr>
                  <a:xfrm>
                    <a:off x="0" y="0"/>
                    <a:ext cx="1519177" cy="400050"/>
                  </a:xfrm>
                  <a:prstGeom prst="rect">
                    <a:avLst/>
                  </a:prstGeom>
                </pic:spPr>
              </pic:pic>
            </a:graphicData>
          </a:graphic>
        </wp:inline>
      </w:drawing>
    </w:r>
  </w:p>
  <w:p w:rsidR="00800872" w:rsidRDefault="00800872" w:rsidP="005E045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B60" w:rsidRDefault="00157B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278E" w:rsidRDefault="00B8278E" w:rsidP="007500B3">
      <w:pPr>
        <w:spacing w:after="0" w:line="240" w:lineRule="auto"/>
      </w:pPr>
      <w:r>
        <w:separator/>
      </w:r>
    </w:p>
  </w:footnote>
  <w:footnote w:type="continuationSeparator" w:id="0">
    <w:p w:rsidR="00B8278E" w:rsidRDefault="00B8278E" w:rsidP="007500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B60" w:rsidRDefault="00157B6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B60" w:rsidRDefault="00157B6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B60" w:rsidRDefault="00157B6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06A5C"/>
    <w:multiLevelType w:val="hybridMultilevel"/>
    <w:tmpl w:val="17CA0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8D684E"/>
    <w:multiLevelType w:val="hybridMultilevel"/>
    <w:tmpl w:val="9A264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25FAA"/>
    <w:multiLevelType w:val="hybridMultilevel"/>
    <w:tmpl w:val="081C6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5F4720"/>
    <w:multiLevelType w:val="hybridMultilevel"/>
    <w:tmpl w:val="9BC0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B503D5"/>
    <w:multiLevelType w:val="hybridMultilevel"/>
    <w:tmpl w:val="4BA8C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2F40EF"/>
    <w:multiLevelType w:val="hybridMultilevel"/>
    <w:tmpl w:val="16FE6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4722FE"/>
    <w:multiLevelType w:val="hybridMultilevel"/>
    <w:tmpl w:val="2B4448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F43EEB"/>
    <w:multiLevelType w:val="hybridMultilevel"/>
    <w:tmpl w:val="E73A2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5671BC"/>
    <w:multiLevelType w:val="hybridMultilevel"/>
    <w:tmpl w:val="350A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0E01EC"/>
    <w:multiLevelType w:val="hybridMultilevel"/>
    <w:tmpl w:val="EC46F5C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nsid w:val="5340739D"/>
    <w:multiLevelType w:val="hybridMultilevel"/>
    <w:tmpl w:val="7D047688"/>
    <w:lvl w:ilvl="0" w:tplc="5D9215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D128A1"/>
    <w:multiLevelType w:val="hybridMultilevel"/>
    <w:tmpl w:val="E320F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7136FC"/>
    <w:multiLevelType w:val="hybridMultilevel"/>
    <w:tmpl w:val="414C8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1673DB"/>
    <w:multiLevelType w:val="multilevel"/>
    <w:tmpl w:val="CA1AF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CF83A5A"/>
    <w:multiLevelType w:val="hybridMultilevel"/>
    <w:tmpl w:val="9CAA969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70A9463B"/>
    <w:multiLevelType w:val="hybridMultilevel"/>
    <w:tmpl w:val="2DBA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15"/>
  </w:num>
  <w:num w:numId="5">
    <w:abstractNumId w:val="8"/>
  </w:num>
  <w:num w:numId="6">
    <w:abstractNumId w:val="5"/>
  </w:num>
  <w:num w:numId="7">
    <w:abstractNumId w:val="14"/>
  </w:num>
  <w:num w:numId="8">
    <w:abstractNumId w:val="9"/>
  </w:num>
  <w:num w:numId="9">
    <w:abstractNumId w:val="7"/>
  </w:num>
  <w:num w:numId="10">
    <w:abstractNumId w:val="13"/>
  </w:num>
  <w:num w:numId="11">
    <w:abstractNumId w:val="12"/>
  </w:num>
  <w:num w:numId="12">
    <w:abstractNumId w:val="11"/>
  </w:num>
  <w:num w:numId="13">
    <w:abstractNumId w:val="3"/>
  </w:num>
  <w:num w:numId="14">
    <w:abstractNumId w:val="4"/>
  </w:num>
  <w:num w:numId="15">
    <w:abstractNumId w:val="10"/>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grammar="clean"/>
  <w:defaultTabStop w:val="720"/>
  <w:drawingGridHorizontalSpacing w:val="110"/>
  <w:displayHorizontalDrawingGridEvery w:val="2"/>
  <w:characterSpacingControl w:val="doNotCompress"/>
  <w:hdrShapeDefaults>
    <o:shapedefaults v:ext="edit" spidmax="106498"/>
  </w:hdrShapeDefaults>
  <w:footnotePr>
    <w:footnote w:id="-1"/>
    <w:footnote w:id="0"/>
  </w:footnotePr>
  <w:endnotePr>
    <w:endnote w:id="-1"/>
    <w:endnote w:id="0"/>
  </w:endnotePr>
  <w:compat/>
  <w:rsids>
    <w:rsidRoot w:val="00A56D82"/>
    <w:rsid w:val="00012D9B"/>
    <w:rsid w:val="00012F9F"/>
    <w:rsid w:val="00015859"/>
    <w:rsid w:val="000166A1"/>
    <w:rsid w:val="00024F2D"/>
    <w:rsid w:val="000318B1"/>
    <w:rsid w:val="00047242"/>
    <w:rsid w:val="000520A6"/>
    <w:rsid w:val="000676E8"/>
    <w:rsid w:val="000928F9"/>
    <w:rsid w:val="00095636"/>
    <w:rsid w:val="000A7AE6"/>
    <w:rsid w:val="000B2846"/>
    <w:rsid w:val="000B5881"/>
    <w:rsid w:val="000C5AE5"/>
    <w:rsid w:val="000D6C53"/>
    <w:rsid w:val="000D77AB"/>
    <w:rsid w:val="000F201E"/>
    <w:rsid w:val="000F36BA"/>
    <w:rsid w:val="000F4199"/>
    <w:rsid w:val="000F6795"/>
    <w:rsid w:val="00110770"/>
    <w:rsid w:val="0014146A"/>
    <w:rsid w:val="001469E8"/>
    <w:rsid w:val="001534BA"/>
    <w:rsid w:val="00157037"/>
    <w:rsid w:val="00157B60"/>
    <w:rsid w:val="00161563"/>
    <w:rsid w:val="00163BCF"/>
    <w:rsid w:val="001728CE"/>
    <w:rsid w:val="001754A2"/>
    <w:rsid w:val="001766C2"/>
    <w:rsid w:val="00181087"/>
    <w:rsid w:val="0018239D"/>
    <w:rsid w:val="00196A14"/>
    <w:rsid w:val="001A3E80"/>
    <w:rsid w:val="001A74B2"/>
    <w:rsid w:val="001C14C3"/>
    <w:rsid w:val="001C33EB"/>
    <w:rsid w:val="001C796D"/>
    <w:rsid w:val="001D03A6"/>
    <w:rsid w:val="001D50F2"/>
    <w:rsid w:val="001D6A79"/>
    <w:rsid w:val="001D6F59"/>
    <w:rsid w:val="001F0A14"/>
    <w:rsid w:val="001F5800"/>
    <w:rsid w:val="00201E15"/>
    <w:rsid w:val="002065D6"/>
    <w:rsid w:val="002071D0"/>
    <w:rsid w:val="00214EA7"/>
    <w:rsid w:val="00217376"/>
    <w:rsid w:val="00220130"/>
    <w:rsid w:val="00221F13"/>
    <w:rsid w:val="00224533"/>
    <w:rsid w:val="00227DC8"/>
    <w:rsid w:val="00230F17"/>
    <w:rsid w:val="002322D4"/>
    <w:rsid w:val="00232C8C"/>
    <w:rsid w:val="00233284"/>
    <w:rsid w:val="00246FB1"/>
    <w:rsid w:val="002548B9"/>
    <w:rsid w:val="0026112F"/>
    <w:rsid w:val="00262F61"/>
    <w:rsid w:val="002734F5"/>
    <w:rsid w:val="00280076"/>
    <w:rsid w:val="0028183C"/>
    <w:rsid w:val="00284EB3"/>
    <w:rsid w:val="00285F4B"/>
    <w:rsid w:val="00290E61"/>
    <w:rsid w:val="002944EC"/>
    <w:rsid w:val="00296660"/>
    <w:rsid w:val="002A0349"/>
    <w:rsid w:val="002A622D"/>
    <w:rsid w:val="002B5404"/>
    <w:rsid w:val="002B634C"/>
    <w:rsid w:val="002C2F49"/>
    <w:rsid w:val="002C3953"/>
    <w:rsid w:val="002C5612"/>
    <w:rsid w:val="002D62D2"/>
    <w:rsid w:val="002D723D"/>
    <w:rsid w:val="002D78B4"/>
    <w:rsid w:val="002F46FD"/>
    <w:rsid w:val="002F534F"/>
    <w:rsid w:val="00302AC6"/>
    <w:rsid w:val="003046DD"/>
    <w:rsid w:val="00304A71"/>
    <w:rsid w:val="00317EF2"/>
    <w:rsid w:val="003213E6"/>
    <w:rsid w:val="00330385"/>
    <w:rsid w:val="0034186A"/>
    <w:rsid w:val="00343C76"/>
    <w:rsid w:val="003559D6"/>
    <w:rsid w:val="00357F06"/>
    <w:rsid w:val="00361196"/>
    <w:rsid w:val="00365904"/>
    <w:rsid w:val="00365B72"/>
    <w:rsid w:val="00367612"/>
    <w:rsid w:val="00374F77"/>
    <w:rsid w:val="0037678B"/>
    <w:rsid w:val="00382E3D"/>
    <w:rsid w:val="00384909"/>
    <w:rsid w:val="00386126"/>
    <w:rsid w:val="003956D5"/>
    <w:rsid w:val="003A3F2A"/>
    <w:rsid w:val="003A4298"/>
    <w:rsid w:val="003A610B"/>
    <w:rsid w:val="003D0040"/>
    <w:rsid w:val="003D1E9A"/>
    <w:rsid w:val="003D2F0C"/>
    <w:rsid w:val="003D37E5"/>
    <w:rsid w:val="003E05AE"/>
    <w:rsid w:val="003E2569"/>
    <w:rsid w:val="00402DE7"/>
    <w:rsid w:val="00403002"/>
    <w:rsid w:val="00405EA7"/>
    <w:rsid w:val="00407818"/>
    <w:rsid w:val="00413D5E"/>
    <w:rsid w:val="00415C36"/>
    <w:rsid w:val="0041723A"/>
    <w:rsid w:val="0042249F"/>
    <w:rsid w:val="00433CB4"/>
    <w:rsid w:val="00436A5A"/>
    <w:rsid w:val="004471FF"/>
    <w:rsid w:val="00450D81"/>
    <w:rsid w:val="00451297"/>
    <w:rsid w:val="004572BE"/>
    <w:rsid w:val="00461935"/>
    <w:rsid w:val="004632D0"/>
    <w:rsid w:val="0046387F"/>
    <w:rsid w:val="00465362"/>
    <w:rsid w:val="00467E4A"/>
    <w:rsid w:val="00467E71"/>
    <w:rsid w:val="0047071A"/>
    <w:rsid w:val="00470965"/>
    <w:rsid w:val="00475C2F"/>
    <w:rsid w:val="00487AB6"/>
    <w:rsid w:val="004900A6"/>
    <w:rsid w:val="00490583"/>
    <w:rsid w:val="004947ED"/>
    <w:rsid w:val="004A2979"/>
    <w:rsid w:val="004A41B1"/>
    <w:rsid w:val="004A72CA"/>
    <w:rsid w:val="004A7971"/>
    <w:rsid w:val="004B3902"/>
    <w:rsid w:val="004C6FFC"/>
    <w:rsid w:val="004D2EBF"/>
    <w:rsid w:val="004D46A8"/>
    <w:rsid w:val="004D4C71"/>
    <w:rsid w:val="004D579E"/>
    <w:rsid w:val="004E0B8D"/>
    <w:rsid w:val="004E7CA2"/>
    <w:rsid w:val="0050138D"/>
    <w:rsid w:val="00504E12"/>
    <w:rsid w:val="0050706C"/>
    <w:rsid w:val="005152C3"/>
    <w:rsid w:val="005253E0"/>
    <w:rsid w:val="00530BB8"/>
    <w:rsid w:val="00530C43"/>
    <w:rsid w:val="00533BDB"/>
    <w:rsid w:val="00560101"/>
    <w:rsid w:val="00565ED7"/>
    <w:rsid w:val="005711BB"/>
    <w:rsid w:val="00571D40"/>
    <w:rsid w:val="0057282B"/>
    <w:rsid w:val="005734B1"/>
    <w:rsid w:val="005752F9"/>
    <w:rsid w:val="00575367"/>
    <w:rsid w:val="00587292"/>
    <w:rsid w:val="00587CB9"/>
    <w:rsid w:val="005915B6"/>
    <w:rsid w:val="00594213"/>
    <w:rsid w:val="005A56DB"/>
    <w:rsid w:val="005B0753"/>
    <w:rsid w:val="005B1B9B"/>
    <w:rsid w:val="005B1D34"/>
    <w:rsid w:val="005B4293"/>
    <w:rsid w:val="005B7264"/>
    <w:rsid w:val="005C2F25"/>
    <w:rsid w:val="005C545A"/>
    <w:rsid w:val="005C5E78"/>
    <w:rsid w:val="005D5309"/>
    <w:rsid w:val="005E0452"/>
    <w:rsid w:val="005F3450"/>
    <w:rsid w:val="005F44A0"/>
    <w:rsid w:val="00600A30"/>
    <w:rsid w:val="00606683"/>
    <w:rsid w:val="00606C91"/>
    <w:rsid w:val="00606F87"/>
    <w:rsid w:val="00611784"/>
    <w:rsid w:val="00611B92"/>
    <w:rsid w:val="006136DC"/>
    <w:rsid w:val="00613D32"/>
    <w:rsid w:val="00616935"/>
    <w:rsid w:val="00623F6D"/>
    <w:rsid w:val="00640882"/>
    <w:rsid w:val="0064591D"/>
    <w:rsid w:val="00645F34"/>
    <w:rsid w:val="0064717D"/>
    <w:rsid w:val="006758A0"/>
    <w:rsid w:val="00684732"/>
    <w:rsid w:val="00686379"/>
    <w:rsid w:val="006965AF"/>
    <w:rsid w:val="00696832"/>
    <w:rsid w:val="006A4D73"/>
    <w:rsid w:val="006B5BF6"/>
    <w:rsid w:val="006B5E95"/>
    <w:rsid w:val="006B6702"/>
    <w:rsid w:val="006B6F1A"/>
    <w:rsid w:val="006C63DD"/>
    <w:rsid w:val="006C783F"/>
    <w:rsid w:val="006C7FDB"/>
    <w:rsid w:val="006D3A0C"/>
    <w:rsid w:val="006D49D0"/>
    <w:rsid w:val="006D5DF2"/>
    <w:rsid w:val="006E1033"/>
    <w:rsid w:val="006E458B"/>
    <w:rsid w:val="006E4875"/>
    <w:rsid w:val="006F0751"/>
    <w:rsid w:val="006F11BF"/>
    <w:rsid w:val="006F1F21"/>
    <w:rsid w:val="006F3A44"/>
    <w:rsid w:val="006F53E8"/>
    <w:rsid w:val="007002D5"/>
    <w:rsid w:val="00700FB0"/>
    <w:rsid w:val="00707251"/>
    <w:rsid w:val="0071277A"/>
    <w:rsid w:val="007134C3"/>
    <w:rsid w:val="00714523"/>
    <w:rsid w:val="00720CFC"/>
    <w:rsid w:val="00725B7F"/>
    <w:rsid w:val="00735000"/>
    <w:rsid w:val="00745189"/>
    <w:rsid w:val="007500B3"/>
    <w:rsid w:val="00764DDB"/>
    <w:rsid w:val="007748BB"/>
    <w:rsid w:val="00775080"/>
    <w:rsid w:val="00780EE4"/>
    <w:rsid w:val="007818F1"/>
    <w:rsid w:val="00791ECB"/>
    <w:rsid w:val="007962C3"/>
    <w:rsid w:val="007A7653"/>
    <w:rsid w:val="007B0084"/>
    <w:rsid w:val="007B053B"/>
    <w:rsid w:val="007B1378"/>
    <w:rsid w:val="007B206D"/>
    <w:rsid w:val="007B6627"/>
    <w:rsid w:val="007B7838"/>
    <w:rsid w:val="007B7E7D"/>
    <w:rsid w:val="007C3FA7"/>
    <w:rsid w:val="007C521A"/>
    <w:rsid w:val="007D240E"/>
    <w:rsid w:val="007D5FD9"/>
    <w:rsid w:val="007D68E4"/>
    <w:rsid w:val="007E1655"/>
    <w:rsid w:val="007E4ADB"/>
    <w:rsid w:val="007F7427"/>
    <w:rsid w:val="007F78D8"/>
    <w:rsid w:val="00800872"/>
    <w:rsid w:val="00804A9B"/>
    <w:rsid w:val="008102BE"/>
    <w:rsid w:val="0081031A"/>
    <w:rsid w:val="00814C49"/>
    <w:rsid w:val="00815553"/>
    <w:rsid w:val="00821319"/>
    <w:rsid w:val="00821EC3"/>
    <w:rsid w:val="00824315"/>
    <w:rsid w:val="00827FB7"/>
    <w:rsid w:val="0083134E"/>
    <w:rsid w:val="0083332A"/>
    <w:rsid w:val="008407DB"/>
    <w:rsid w:val="00844EF0"/>
    <w:rsid w:val="008500AA"/>
    <w:rsid w:val="00854577"/>
    <w:rsid w:val="008549C4"/>
    <w:rsid w:val="00861B2D"/>
    <w:rsid w:val="00865876"/>
    <w:rsid w:val="008701EF"/>
    <w:rsid w:val="00871899"/>
    <w:rsid w:val="008746A2"/>
    <w:rsid w:val="00874EF6"/>
    <w:rsid w:val="008843D1"/>
    <w:rsid w:val="0088721A"/>
    <w:rsid w:val="00890C55"/>
    <w:rsid w:val="00892BF0"/>
    <w:rsid w:val="008A687F"/>
    <w:rsid w:val="008B35D8"/>
    <w:rsid w:val="008C4FC9"/>
    <w:rsid w:val="008D1FF1"/>
    <w:rsid w:val="008D2ED0"/>
    <w:rsid w:val="008D3571"/>
    <w:rsid w:val="008E2FB1"/>
    <w:rsid w:val="008E4F92"/>
    <w:rsid w:val="008E5C96"/>
    <w:rsid w:val="008F6613"/>
    <w:rsid w:val="00902649"/>
    <w:rsid w:val="00913C20"/>
    <w:rsid w:val="009165C2"/>
    <w:rsid w:val="00922192"/>
    <w:rsid w:val="0092408B"/>
    <w:rsid w:val="0092796A"/>
    <w:rsid w:val="00945F35"/>
    <w:rsid w:val="00945FA4"/>
    <w:rsid w:val="009515E3"/>
    <w:rsid w:val="00954096"/>
    <w:rsid w:val="00954905"/>
    <w:rsid w:val="00962CD3"/>
    <w:rsid w:val="009725F5"/>
    <w:rsid w:val="00981AF5"/>
    <w:rsid w:val="00986F98"/>
    <w:rsid w:val="00990B94"/>
    <w:rsid w:val="00994778"/>
    <w:rsid w:val="00996064"/>
    <w:rsid w:val="009A194E"/>
    <w:rsid w:val="009A22FC"/>
    <w:rsid w:val="009A6DE9"/>
    <w:rsid w:val="009C1A04"/>
    <w:rsid w:val="009C3E7F"/>
    <w:rsid w:val="009C425F"/>
    <w:rsid w:val="009C471B"/>
    <w:rsid w:val="009D01B0"/>
    <w:rsid w:val="009D2F1F"/>
    <w:rsid w:val="009E5C97"/>
    <w:rsid w:val="009E5E2A"/>
    <w:rsid w:val="009F131D"/>
    <w:rsid w:val="009F3BEE"/>
    <w:rsid w:val="00A24E92"/>
    <w:rsid w:val="00A314CC"/>
    <w:rsid w:val="00A35F2B"/>
    <w:rsid w:val="00A35FBF"/>
    <w:rsid w:val="00A36C27"/>
    <w:rsid w:val="00A40053"/>
    <w:rsid w:val="00A41596"/>
    <w:rsid w:val="00A446C3"/>
    <w:rsid w:val="00A446D4"/>
    <w:rsid w:val="00A45916"/>
    <w:rsid w:val="00A45FCC"/>
    <w:rsid w:val="00A517EB"/>
    <w:rsid w:val="00A55BD1"/>
    <w:rsid w:val="00A56D82"/>
    <w:rsid w:val="00A60AC5"/>
    <w:rsid w:val="00A64081"/>
    <w:rsid w:val="00A64AB4"/>
    <w:rsid w:val="00A65069"/>
    <w:rsid w:val="00A77C3D"/>
    <w:rsid w:val="00A838A9"/>
    <w:rsid w:val="00A875D1"/>
    <w:rsid w:val="00A91CF2"/>
    <w:rsid w:val="00A9232C"/>
    <w:rsid w:val="00A95300"/>
    <w:rsid w:val="00A96056"/>
    <w:rsid w:val="00A96F3E"/>
    <w:rsid w:val="00AA4B02"/>
    <w:rsid w:val="00AA703F"/>
    <w:rsid w:val="00AB2260"/>
    <w:rsid w:val="00AC07A0"/>
    <w:rsid w:val="00AC27F7"/>
    <w:rsid w:val="00AC3859"/>
    <w:rsid w:val="00AC6161"/>
    <w:rsid w:val="00AC75FB"/>
    <w:rsid w:val="00AD5269"/>
    <w:rsid w:val="00AE2BA3"/>
    <w:rsid w:val="00AF46D5"/>
    <w:rsid w:val="00B0439E"/>
    <w:rsid w:val="00B227DF"/>
    <w:rsid w:val="00B23E52"/>
    <w:rsid w:val="00B30B8B"/>
    <w:rsid w:val="00B375A9"/>
    <w:rsid w:val="00B4244F"/>
    <w:rsid w:val="00B46796"/>
    <w:rsid w:val="00B46845"/>
    <w:rsid w:val="00B55A4D"/>
    <w:rsid w:val="00B608D4"/>
    <w:rsid w:val="00B62451"/>
    <w:rsid w:val="00B63279"/>
    <w:rsid w:val="00B67DA9"/>
    <w:rsid w:val="00B71DB3"/>
    <w:rsid w:val="00B72984"/>
    <w:rsid w:val="00B73B48"/>
    <w:rsid w:val="00B8278E"/>
    <w:rsid w:val="00B928F9"/>
    <w:rsid w:val="00B9775A"/>
    <w:rsid w:val="00BA3793"/>
    <w:rsid w:val="00BA6944"/>
    <w:rsid w:val="00BB0382"/>
    <w:rsid w:val="00BB3AFB"/>
    <w:rsid w:val="00BB6AAC"/>
    <w:rsid w:val="00BB7BDB"/>
    <w:rsid w:val="00BC0F2B"/>
    <w:rsid w:val="00BC2F2A"/>
    <w:rsid w:val="00BC4C68"/>
    <w:rsid w:val="00BD1171"/>
    <w:rsid w:val="00BD19C0"/>
    <w:rsid w:val="00BD1D63"/>
    <w:rsid w:val="00BD2793"/>
    <w:rsid w:val="00BD2A8C"/>
    <w:rsid w:val="00BD377D"/>
    <w:rsid w:val="00BE15E0"/>
    <w:rsid w:val="00BE2315"/>
    <w:rsid w:val="00BE2870"/>
    <w:rsid w:val="00BE319C"/>
    <w:rsid w:val="00BE55B5"/>
    <w:rsid w:val="00BF037A"/>
    <w:rsid w:val="00BF19A5"/>
    <w:rsid w:val="00BF6AAA"/>
    <w:rsid w:val="00C00861"/>
    <w:rsid w:val="00C06575"/>
    <w:rsid w:val="00C068FC"/>
    <w:rsid w:val="00C11AC2"/>
    <w:rsid w:val="00C12558"/>
    <w:rsid w:val="00C218C8"/>
    <w:rsid w:val="00C22977"/>
    <w:rsid w:val="00C30F01"/>
    <w:rsid w:val="00C354B4"/>
    <w:rsid w:val="00C371D0"/>
    <w:rsid w:val="00C37DDA"/>
    <w:rsid w:val="00C42C87"/>
    <w:rsid w:val="00C433AE"/>
    <w:rsid w:val="00C5423A"/>
    <w:rsid w:val="00C618C9"/>
    <w:rsid w:val="00C70E76"/>
    <w:rsid w:val="00C84FAD"/>
    <w:rsid w:val="00C90FFB"/>
    <w:rsid w:val="00CA162D"/>
    <w:rsid w:val="00CA6DD9"/>
    <w:rsid w:val="00CB24C5"/>
    <w:rsid w:val="00CC00C0"/>
    <w:rsid w:val="00CC0173"/>
    <w:rsid w:val="00CD2420"/>
    <w:rsid w:val="00CD3C06"/>
    <w:rsid w:val="00CD5C01"/>
    <w:rsid w:val="00CE1591"/>
    <w:rsid w:val="00CE17EB"/>
    <w:rsid w:val="00CF0239"/>
    <w:rsid w:val="00CF0BC3"/>
    <w:rsid w:val="00CF40D2"/>
    <w:rsid w:val="00D0424C"/>
    <w:rsid w:val="00D04EF7"/>
    <w:rsid w:val="00D10161"/>
    <w:rsid w:val="00D115A5"/>
    <w:rsid w:val="00D11DB9"/>
    <w:rsid w:val="00D156C4"/>
    <w:rsid w:val="00D34F9D"/>
    <w:rsid w:val="00D3757C"/>
    <w:rsid w:val="00D42BD0"/>
    <w:rsid w:val="00D42EDF"/>
    <w:rsid w:val="00D50B9F"/>
    <w:rsid w:val="00D54D8A"/>
    <w:rsid w:val="00D60119"/>
    <w:rsid w:val="00D716E4"/>
    <w:rsid w:val="00D73516"/>
    <w:rsid w:val="00D8044E"/>
    <w:rsid w:val="00D83E24"/>
    <w:rsid w:val="00D94223"/>
    <w:rsid w:val="00DA3B86"/>
    <w:rsid w:val="00DA5D98"/>
    <w:rsid w:val="00DB267D"/>
    <w:rsid w:val="00DB2B97"/>
    <w:rsid w:val="00DB54F6"/>
    <w:rsid w:val="00DE75A0"/>
    <w:rsid w:val="00DF1ADC"/>
    <w:rsid w:val="00DF2E6B"/>
    <w:rsid w:val="00DF67E8"/>
    <w:rsid w:val="00E06CE4"/>
    <w:rsid w:val="00E114F8"/>
    <w:rsid w:val="00E11615"/>
    <w:rsid w:val="00E16AD6"/>
    <w:rsid w:val="00E222AE"/>
    <w:rsid w:val="00E233C6"/>
    <w:rsid w:val="00E244BF"/>
    <w:rsid w:val="00E27E1E"/>
    <w:rsid w:val="00E32D69"/>
    <w:rsid w:val="00E35295"/>
    <w:rsid w:val="00E5156E"/>
    <w:rsid w:val="00E73A17"/>
    <w:rsid w:val="00E744DB"/>
    <w:rsid w:val="00E83B99"/>
    <w:rsid w:val="00E853DA"/>
    <w:rsid w:val="00E94B4F"/>
    <w:rsid w:val="00E96691"/>
    <w:rsid w:val="00EA2047"/>
    <w:rsid w:val="00EA43B0"/>
    <w:rsid w:val="00EA4453"/>
    <w:rsid w:val="00EA503E"/>
    <w:rsid w:val="00EB510E"/>
    <w:rsid w:val="00EE0A4F"/>
    <w:rsid w:val="00EE4E27"/>
    <w:rsid w:val="00EE4F20"/>
    <w:rsid w:val="00EF5B5E"/>
    <w:rsid w:val="00EF7033"/>
    <w:rsid w:val="00F06A8F"/>
    <w:rsid w:val="00F207C3"/>
    <w:rsid w:val="00F26FD6"/>
    <w:rsid w:val="00F27118"/>
    <w:rsid w:val="00F31C3C"/>
    <w:rsid w:val="00F33761"/>
    <w:rsid w:val="00F4383E"/>
    <w:rsid w:val="00F517F0"/>
    <w:rsid w:val="00F530DE"/>
    <w:rsid w:val="00F61DA1"/>
    <w:rsid w:val="00F66EA1"/>
    <w:rsid w:val="00F70F55"/>
    <w:rsid w:val="00F72103"/>
    <w:rsid w:val="00F7395C"/>
    <w:rsid w:val="00F77F60"/>
    <w:rsid w:val="00F80F34"/>
    <w:rsid w:val="00F83A93"/>
    <w:rsid w:val="00F8546A"/>
    <w:rsid w:val="00F87C4C"/>
    <w:rsid w:val="00F96B49"/>
    <w:rsid w:val="00FA3747"/>
    <w:rsid w:val="00FB04F1"/>
    <w:rsid w:val="00FB1F62"/>
    <w:rsid w:val="00FC06FD"/>
    <w:rsid w:val="00FD4D05"/>
    <w:rsid w:val="00FE178D"/>
    <w:rsid w:val="00FE2749"/>
    <w:rsid w:val="00FE753B"/>
    <w:rsid w:val="00FE7B41"/>
    <w:rsid w:val="00FF35DF"/>
    <w:rsid w:val="00FF53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F21"/>
  </w:style>
  <w:style w:type="paragraph" w:styleId="Heading1">
    <w:name w:val="heading 1"/>
    <w:basedOn w:val="Normal"/>
    <w:next w:val="Normal"/>
    <w:link w:val="Heading1Char"/>
    <w:uiPriority w:val="9"/>
    <w:qFormat/>
    <w:rsid w:val="000D77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7">
    <w:name w:val="heading 7"/>
    <w:basedOn w:val="Normal"/>
    <w:next w:val="Normal"/>
    <w:link w:val="Heading7Char"/>
    <w:qFormat/>
    <w:rsid w:val="002D723D"/>
    <w:pPr>
      <w:keepNext/>
      <w:autoSpaceDE w:val="0"/>
      <w:autoSpaceDN w:val="0"/>
      <w:adjustRightInd w:val="0"/>
      <w:spacing w:after="120" w:line="240" w:lineRule="auto"/>
      <w:outlineLvl w:val="6"/>
    </w:pPr>
    <w:rPr>
      <w:rFonts w:ascii="Times" w:eastAsia="Times" w:hAnsi="Times" w:cs="Times New Roman"/>
      <w:b/>
      <w:color w:val="00000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D82"/>
    <w:rPr>
      <w:rFonts w:ascii="Tahoma" w:hAnsi="Tahoma" w:cs="Tahoma"/>
      <w:sz w:val="16"/>
      <w:szCs w:val="16"/>
    </w:rPr>
  </w:style>
  <w:style w:type="paragraph" w:styleId="Header">
    <w:name w:val="header"/>
    <w:basedOn w:val="Normal"/>
    <w:link w:val="HeaderChar"/>
    <w:uiPriority w:val="99"/>
    <w:semiHidden/>
    <w:unhideWhenUsed/>
    <w:rsid w:val="007500B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500B3"/>
  </w:style>
  <w:style w:type="paragraph" w:styleId="Footer">
    <w:name w:val="footer"/>
    <w:basedOn w:val="Normal"/>
    <w:link w:val="FooterChar"/>
    <w:uiPriority w:val="99"/>
    <w:semiHidden/>
    <w:unhideWhenUsed/>
    <w:rsid w:val="007500B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500B3"/>
  </w:style>
  <w:style w:type="paragraph" w:styleId="ListParagraph">
    <w:name w:val="List Paragraph"/>
    <w:basedOn w:val="Normal"/>
    <w:uiPriority w:val="34"/>
    <w:qFormat/>
    <w:rsid w:val="00D716E4"/>
    <w:pPr>
      <w:ind w:left="720"/>
      <w:contextualSpacing/>
    </w:pPr>
  </w:style>
  <w:style w:type="character" w:styleId="Hyperlink">
    <w:name w:val="Hyperlink"/>
    <w:basedOn w:val="DefaultParagraphFont"/>
    <w:uiPriority w:val="99"/>
    <w:unhideWhenUsed/>
    <w:rsid w:val="005E0452"/>
    <w:rPr>
      <w:color w:val="0000FF" w:themeColor="hyperlink"/>
      <w:u w:val="single"/>
    </w:rPr>
  </w:style>
  <w:style w:type="paragraph" w:styleId="BodyText2">
    <w:name w:val="Body Text 2"/>
    <w:basedOn w:val="Normal"/>
    <w:link w:val="BodyText2Char"/>
    <w:rsid w:val="00A55BD1"/>
    <w:pPr>
      <w:widowControl w:val="0"/>
      <w:tabs>
        <w:tab w:val="left" w:pos="1800"/>
      </w:tabs>
      <w:adjustRightInd w:val="0"/>
      <w:spacing w:after="0" w:line="360" w:lineRule="atLeast"/>
      <w:jc w:val="both"/>
      <w:textAlignment w:val="baseline"/>
    </w:pPr>
    <w:rPr>
      <w:rFonts w:ascii="Gill Sans" w:eastAsia="Times New Roman" w:hAnsi="Gill Sans" w:cs="Times New Roman"/>
      <w:color w:val="000000"/>
      <w:sz w:val="18"/>
      <w:szCs w:val="20"/>
    </w:rPr>
  </w:style>
  <w:style w:type="character" w:customStyle="1" w:styleId="BodyText2Char">
    <w:name w:val="Body Text 2 Char"/>
    <w:basedOn w:val="DefaultParagraphFont"/>
    <w:link w:val="BodyText2"/>
    <w:rsid w:val="00A55BD1"/>
    <w:rPr>
      <w:rFonts w:ascii="Gill Sans" w:eastAsia="Times New Roman" w:hAnsi="Gill Sans" w:cs="Times New Roman"/>
      <w:color w:val="000000"/>
      <w:sz w:val="18"/>
      <w:szCs w:val="20"/>
    </w:rPr>
  </w:style>
  <w:style w:type="paragraph" w:styleId="BodyTextIndent">
    <w:name w:val="Body Text Indent"/>
    <w:basedOn w:val="Normal"/>
    <w:link w:val="BodyTextIndentChar"/>
    <w:uiPriority w:val="99"/>
    <w:semiHidden/>
    <w:unhideWhenUsed/>
    <w:rsid w:val="002D723D"/>
    <w:pPr>
      <w:spacing w:after="120"/>
      <w:ind w:left="360"/>
    </w:pPr>
  </w:style>
  <w:style w:type="character" w:customStyle="1" w:styleId="BodyTextIndentChar">
    <w:name w:val="Body Text Indent Char"/>
    <w:basedOn w:val="DefaultParagraphFont"/>
    <w:link w:val="BodyTextIndent"/>
    <w:uiPriority w:val="99"/>
    <w:semiHidden/>
    <w:rsid w:val="002D723D"/>
  </w:style>
  <w:style w:type="character" w:customStyle="1" w:styleId="Heading7Char">
    <w:name w:val="Heading 7 Char"/>
    <w:basedOn w:val="DefaultParagraphFont"/>
    <w:link w:val="Heading7"/>
    <w:rsid w:val="002D723D"/>
    <w:rPr>
      <w:rFonts w:ascii="Times" w:eastAsia="Times" w:hAnsi="Times" w:cs="Times New Roman"/>
      <w:b/>
      <w:color w:val="000000"/>
      <w:sz w:val="28"/>
      <w:szCs w:val="20"/>
    </w:rPr>
  </w:style>
  <w:style w:type="character" w:customStyle="1" w:styleId="Heading1Char">
    <w:name w:val="Heading 1 Char"/>
    <w:basedOn w:val="DefaultParagraphFont"/>
    <w:link w:val="Heading1"/>
    <w:uiPriority w:val="9"/>
    <w:rsid w:val="000D77A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D77AB"/>
    <w:pPr>
      <w:outlineLvl w:val="9"/>
    </w:pPr>
  </w:style>
  <w:style w:type="character" w:styleId="FollowedHyperlink">
    <w:name w:val="FollowedHyperlink"/>
    <w:basedOn w:val="DefaultParagraphFont"/>
    <w:uiPriority w:val="99"/>
    <w:semiHidden/>
    <w:unhideWhenUsed/>
    <w:rsid w:val="00686379"/>
    <w:rPr>
      <w:color w:val="800080"/>
      <w:u w:val="single"/>
    </w:rPr>
  </w:style>
  <w:style w:type="paragraph" w:customStyle="1" w:styleId="xl61">
    <w:name w:val="xl61"/>
    <w:basedOn w:val="Normal"/>
    <w:rsid w:val="00686379"/>
    <w:pPr>
      <w:shd w:val="clear" w:color="000000" w:fill="FFFFFF"/>
      <w:spacing w:before="100" w:beforeAutospacing="1" w:after="100" w:afterAutospacing="1" w:line="240" w:lineRule="auto"/>
      <w:jc w:val="center"/>
    </w:pPr>
    <w:rPr>
      <w:rFonts w:ascii="Arial" w:eastAsia="Times New Roman" w:hAnsi="Arial" w:cs="Arial"/>
      <w:b/>
      <w:bCs/>
      <w:sz w:val="24"/>
      <w:szCs w:val="24"/>
    </w:rPr>
  </w:style>
  <w:style w:type="paragraph" w:customStyle="1" w:styleId="xl62">
    <w:name w:val="xl62"/>
    <w:basedOn w:val="Normal"/>
    <w:rsid w:val="00686379"/>
    <w:pPr>
      <w:spacing w:before="100" w:beforeAutospacing="1" w:after="100" w:afterAutospacing="1" w:line="240" w:lineRule="auto"/>
    </w:pPr>
    <w:rPr>
      <w:rFonts w:ascii="Arial" w:eastAsia="Times New Roman" w:hAnsi="Arial" w:cs="Arial"/>
      <w:sz w:val="24"/>
      <w:szCs w:val="24"/>
    </w:rPr>
  </w:style>
  <w:style w:type="paragraph" w:customStyle="1" w:styleId="xl63">
    <w:name w:val="xl63"/>
    <w:basedOn w:val="Normal"/>
    <w:rsid w:val="00686379"/>
    <w:pPr>
      <w:spacing w:before="100" w:beforeAutospacing="1" w:after="100" w:afterAutospacing="1" w:line="240" w:lineRule="auto"/>
      <w:jc w:val="center"/>
    </w:pPr>
    <w:rPr>
      <w:rFonts w:ascii="Arial" w:eastAsia="Times New Roman" w:hAnsi="Arial" w:cs="Arial"/>
      <w:sz w:val="24"/>
      <w:szCs w:val="24"/>
    </w:rPr>
  </w:style>
  <w:style w:type="paragraph" w:customStyle="1" w:styleId="xl64">
    <w:name w:val="xl64"/>
    <w:basedOn w:val="Normal"/>
    <w:rsid w:val="00686379"/>
    <w:pPr>
      <w:shd w:val="clear" w:color="000000" w:fill="E68E1B"/>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65">
    <w:name w:val="xl65"/>
    <w:basedOn w:val="Normal"/>
    <w:rsid w:val="00686379"/>
    <w:pPr>
      <w:shd w:val="clear" w:color="000000" w:fill="E68E1B"/>
      <w:spacing w:before="100" w:beforeAutospacing="1" w:after="100" w:afterAutospacing="1" w:line="240" w:lineRule="auto"/>
      <w:textAlignment w:val="center"/>
    </w:pPr>
    <w:rPr>
      <w:rFonts w:ascii="Arial" w:eastAsia="Times New Roman" w:hAnsi="Arial" w:cs="Arial"/>
      <w:b/>
      <w:bCs/>
      <w:color w:val="FFFFFF"/>
      <w:sz w:val="24"/>
      <w:szCs w:val="24"/>
    </w:rPr>
  </w:style>
  <w:style w:type="paragraph" w:customStyle="1" w:styleId="xl66">
    <w:name w:val="xl66"/>
    <w:basedOn w:val="Normal"/>
    <w:rsid w:val="00686379"/>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7">
    <w:name w:val="xl67"/>
    <w:basedOn w:val="Normal"/>
    <w:rsid w:val="00686379"/>
    <w:pP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68">
    <w:name w:val="xl68"/>
    <w:basedOn w:val="Normal"/>
    <w:rsid w:val="00686379"/>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9">
    <w:name w:val="xl69"/>
    <w:basedOn w:val="Normal"/>
    <w:rsid w:val="00686379"/>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0">
    <w:name w:val="xl70"/>
    <w:basedOn w:val="Normal"/>
    <w:rsid w:val="00686379"/>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1">
    <w:name w:val="xl71"/>
    <w:basedOn w:val="Normal"/>
    <w:rsid w:val="00686379"/>
    <w:pPr>
      <w:shd w:val="clear" w:color="000000" w:fill="FFFFFF"/>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72">
    <w:name w:val="xl72"/>
    <w:basedOn w:val="Normal"/>
    <w:rsid w:val="00686379"/>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3">
    <w:name w:val="xl73"/>
    <w:basedOn w:val="Normal"/>
    <w:rsid w:val="00686379"/>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4">
    <w:name w:val="xl74"/>
    <w:basedOn w:val="Normal"/>
    <w:rsid w:val="00686379"/>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styleId="NoSpacing">
    <w:name w:val="No Spacing"/>
    <w:uiPriority w:val="1"/>
    <w:qFormat/>
    <w:rsid w:val="00C37DDA"/>
    <w:pPr>
      <w:spacing w:after="0" w:line="240" w:lineRule="auto"/>
    </w:pPr>
  </w:style>
  <w:style w:type="character" w:styleId="Emphasis">
    <w:name w:val="Emphasis"/>
    <w:basedOn w:val="DefaultParagraphFont"/>
    <w:uiPriority w:val="20"/>
    <w:qFormat/>
    <w:rsid w:val="00382E3D"/>
    <w:rPr>
      <w:i/>
      <w:iCs/>
    </w:rPr>
  </w:style>
</w:styles>
</file>

<file path=word/webSettings.xml><?xml version="1.0" encoding="utf-8"?>
<w:webSettings xmlns:r="http://schemas.openxmlformats.org/officeDocument/2006/relationships" xmlns:w="http://schemas.openxmlformats.org/wordprocessingml/2006/main">
  <w:divs>
    <w:div w:id="56325274">
      <w:bodyDiv w:val="1"/>
      <w:marLeft w:val="0"/>
      <w:marRight w:val="0"/>
      <w:marTop w:val="0"/>
      <w:marBottom w:val="0"/>
      <w:divBdr>
        <w:top w:val="none" w:sz="0" w:space="0" w:color="auto"/>
        <w:left w:val="none" w:sz="0" w:space="0" w:color="auto"/>
        <w:bottom w:val="none" w:sz="0" w:space="0" w:color="auto"/>
        <w:right w:val="none" w:sz="0" w:space="0" w:color="auto"/>
      </w:divBdr>
    </w:div>
    <w:div w:id="122966450">
      <w:bodyDiv w:val="1"/>
      <w:marLeft w:val="0"/>
      <w:marRight w:val="0"/>
      <w:marTop w:val="0"/>
      <w:marBottom w:val="0"/>
      <w:divBdr>
        <w:top w:val="none" w:sz="0" w:space="0" w:color="auto"/>
        <w:left w:val="none" w:sz="0" w:space="0" w:color="auto"/>
        <w:bottom w:val="none" w:sz="0" w:space="0" w:color="auto"/>
        <w:right w:val="none" w:sz="0" w:space="0" w:color="auto"/>
      </w:divBdr>
    </w:div>
    <w:div w:id="236746022">
      <w:bodyDiv w:val="1"/>
      <w:marLeft w:val="0"/>
      <w:marRight w:val="0"/>
      <w:marTop w:val="0"/>
      <w:marBottom w:val="0"/>
      <w:divBdr>
        <w:top w:val="none" w:sz="0" w:space="0" w:color="auto"/>
        <w:left w:val="none" w:sz="0" w:space="0" w:color="auto"/>
        <w:bottom w:val="none" w:sz="0" w:space="0" w:color="auto"/>
        <w:right w:val="none" w:sz="0" w:space="0" w:color="auto"/>
      </w:divBdr>
    </w:div>
    <w:div w:id="381294454">
      <w:bodyDiv w:val="1"/>
      <w:marLeft w:val="0"/>
      <w:marRight w:val="0"/>
      <w:marTop w:val="0"/>
      <w:marBottom w:val="0"/>
      <w:divBdr>
        <w:top w:val="none" w:sz="0" w:space="0" w:color="auto"/>
        <w:left w:val="none" w:sz="0" w:space="0" w:color="auto"/>
        <w:bottom w:val="none" w:sz="0" w:space="0" w:color="auto"/>
        <w:right w:val="none" w:sz="0" w:space="0" w:color="auto"/>
      </w:divBdr>
    </w:div>
    <w:div w:id="383598755">
      <w:bodyDiv w:val="1"/>
      <w:marLeft w:val="0"/>
      <w:marRight w:val="0"/>
      <w:marTop w:val="0"/>
      <w:marBottom w:val="0"/>
      <w:divBdr>
        <w:top w:val="none" w:sz="0" w:space="0" w:color="auto"/>
        <w:left w:val="none" w:sz="0" w:space="0" w:color="auto"/>
        <w:bottom w:val="none" w:sz="0" w:space="0" w:color="auto"/>
        <w:right w:val="none" w:sz="0" w:space="0" w:color="auto"/>
      </w:divBdr>
    </w:div>
    <w:div w:id="439185254">
      <w:bodyDiv w:val="1"/>
      <w:marLeft w:val="0"/>
      <w:marRight w:val="0"/>
      <w:marTop w:val="0"/>
      <w:marBottom w:val="0"/>
      <w:divBdr>
        <w:top w:val="none" w:sz="0" w:space="0" w:color="auto"/>
        <w:left w:val="none" w:sz="0" w:space="0" w:color="auto"/>
        <w:bottom w:val="none" w:sz="0" w:space="0" w:color="auto"/>
        <w:right w:val="none" w:sz="0" w:space="0" w:color="auto"/>
      </w:divBdr>
    </w:div>
    <w:div w:id="440611822">
      <w:bodyDiv w:val="1"/>
      <w:marLeft w:val="0"/>
      <w:marRight w:val="0"/>
      <w:marTop w:val="0"/>
      <w:marBottom w:val="0"/>
      <w:divBdr>
        <w:top w:val="none" w:sz="0" w:space="0" w:color="auto"/>
        <w:left w:val="none" w:sz="0" w:space="0" w:color="auto"/>
        <w:bottom w:val="none" w:sz="0" w:space="0" w:color="auto"/>
        <w:right w:val="none" w:sz="0" w:space="0" w:color="auto"/>
      </w:divBdr>
    </w:div>
    <w:div w:id="516161916">
      <w:bodyDiv w:val="1"/>
      <w:marLeft w:val="0"/>
      <w:marRight w:val="0"/>
      <w:marTop w:val="0"/>
      <w:marBottom w:val="0"/>
      <w:divBdr>
        <w:top w:val="none" w:sz="0" w:space="0" w:color="auto"/>
        <w:left w:val="none" w:sz="0" w:space="0" w:color="auto"/>
        <w:bottom w:val="none" w:sz="0" w:space="0" w:color="auto"/>
        <w:right w:val="none" w:sz="0" w:space="0" w:color="auto"/>
      </w:divBdr>
    </w:div>
    <w:div w:id="664359713">
      <w:bodyDiv w:val="1"/>
      <w:marLeft w:val="0"/>
      <w:marRight w:val="0"/>
      <w:marTop w:val="0"/>
      <w:marBottom w:val="0"/>
      <w:divBdr>
        <w:top w:val="none" w:sz="0" w:space="0" w:color="auto"/>
        <w:left w:val="none" w:sz="0" w:space="0" w:color="auto"/>
        <w:bottom w:val="none" w:sz="0" w:space="0" w:color="auto"/>
        <w:right w:val="none" w:sz="0" w:space="0" w:color="auto"/>
      </w:divBdr>
    </w:div>
    <w:div w:id="701174473">
      <w:bodyDiv w:val="1"/>
      <w:marLeft w:val="0"/>
      <w:marRight w:val="0"/>
      <w:marTop w:val="0"/>
      <w:marBottom w:val="0"/>
      <w:divBdr>
        <w:top w:val="none" w:sz="0" w:space="0" w:color="auto"/>
        <w:left w:val="none" w:sz="0" w:space="0" w:color="auto"/>
        <w:bottom w:val="none" w:sz="0" w:space="0" w:color="auto"/>
        <w:right w:val="none" w:sz="0" w:space="0" w:color="auto"/>
      </w:divBdr>
    </w:div>
    <w:div w:id="702291125">
      <w:bodyDiv w:val="1"/>
      <w:marLeft w:val="0"/>
      <w:marRight w:val="0"/>
      <w:marTop w:val="0"/>
      <w:marBottom w:val="0"/>
      <w:divBdr>
        <w:top w:val="none" w:sz="0" w:space="0" w:color="auto"/>
        <w:left w:val="none" w:sz="0" w:space="0" w:color="auto"/>
        <w:bottom w:val="none" w:sz="0" w:space="0" w:color="auto"/>
        <w:right w:val="none" w:sz="0" w:space="0" w:color="auto"/>
      </w:divBdr>
    </w:div>
    <w:div w:id="761416832">
      <w:bodyDiv w:val="1"/>
      <w:marLeft w:val="0"/>
      <w:marRight w:val="0"/>
      <w:marTop w:val="0"/>
      <w:marBottom w:val="0"/>
      <w:divBdr>
        <w:top w:val="none" w:sz="0" w:space="0" w:color="auto"/>
        <w:left w:val="none" w:sz="0" w:space="0" w:color="auto"/>
        <w:bottom w:val="none" w:sz="0" w:space="0" w:color="auto"/>
        <w:right w:val="none" w:sz="0" w:space="0" w:color="auto"/>
      </w:divBdr>
    </w:div>
    <w:div w:id="767506010">
      <w:bodyDiv w:val="1"/>
      <w:marLeft w:val="0"/>
      <w:marRight w:val="0"/>
      <w:marTop w:val="0"/>
      <w:marBottom w:val="0"/>
      <w:divBdr>
        <w:top w:val="none" w:sz="0" w:space="0" w:color="auto"/>
        <w:left w:val="none" w:sz="0" w:space="0" w:color="auto"/>
        <w:bottom w:val="none" w:sz="0" w:space="0" w:color="auto"/>
        <w:right w:val="none" w:sz="0" w:space="0" w:color="auto"/>
      </w:divBdr>
    </w:div>
    <w:div w:id="777682890">
      <w:bodyDiv w:val="1"/>
      <w:marLeft w:val="0"/>
      <w:marRight w:val="0"/>
      <w:marTop w:val="0"/>
      <w:marBottom w:val="0"/>
      <w:divBdr>
        <w:top w:val="none" w:sz="0" w:space="0" w:color="auto"/>
        <w:left w:val="none" w:sz="0" w:space="0" w:color="auto"/>
        <w:bottom w:val="none" w:sz="0" w:space="0" w:color="auto"/>
        <w:right w:val="none" w:sz="0" w:space="0" w:color="auto"/>
      </w:divBdr>
    </w:div>
    <w:div w:id="820582473">
      <w:bodyDiv w:val="1"/>
      <w:marLeft w:val="0"/>
      <w:marRight w:val="0"/>
      <w:marTop w:val="0"/>
      <w:marBottom w:val="0"/>
      <w:divBdr>
        <w:top w:val="none" w:sz="0" w:space="0" w:color="auto"/>
        <w:left w:val="none" w:sz="0" w:space="0" w:color="auto"/>
        <w:bottom w:val="none" w:sz="0" w:space="0" w:color="auto"/>
        <w:right w:val="none" w:sz="0" w:space="0" w:color="auto"/>
      </w:divBdr>
    </w:div>
    <w:div w:id="826363334">
      <w:bodyDiv w:val="1"/>
      <w:marLeft w:val="0"/>
      <w:marRight w:val="0"/>
      <w:marTop w:val="0"/>
      <w:marBottom w:val="0"/>
      <w:divBdr>
        <w:top w:val="none" w:sz="0" w:space="0" w:color="auto"/>
        <w:left w:val="none" w:sz="0" w:space="0" w:color="auto"/>
        <w:bottom w:val="none" w:sz="0" w:space="0" w:color="auto"/>
        <w:right w:val="none" w:sz="0" w:space="0" w:color="auto"/>
      </w:divBdr>
    </w:div>
    <w:div w:id="958531446">
      <w:bodyDiv w:val="1"/>
      <w:marLeft w:val="0"/>
      <w:marRight w:val="0"/>
      <w:marTop w:val="0"/>
      <w:marBottom w:val="0"/>
      <w:divBdr>
        <w:top w:val="none" w:sz="0" w:space="0" w:color="auto"/>
        <w:left w:val="none" w:sz="0" w:space="0" w:color="auto"/>
        <w:bottom w:val="none" w:sz="0" w:space="0" w:color="auto"/>
        <w:right w:val="none" w:sz="0" w:space="0" w:color="auto"/>
      </w:divBdr>
    </w:div>
    <w:div w:id="994067126">
      <w:bodyDiv w:val="1"/>
      <w:marLeft w:val="0"/>
      <w:marRight w:val="0"/>
      <w:marTop w:val="0"/>
      <w:marBottom w:val="0"/>
      <w:divBdr>
        <w:top w:val="none" w:sz="0" w:space="0" w:color="auto"/>
        <w:left w:val="none" w:sz="0" w:space="0" w:color="auto"/>
        <w:bottom w:val="none" w:sz="0" w:space="0" w:color="auto"/>
        <w:right w:val="none" w:sz="0" w:space="0" w:color="auto"/>
      </w:divBdr>
    </w:div>
    <w:div w:id="1040784469">
      <w:bodyDiv w:val="1"/>
      <w:marLeft w:val="0"/>
      <w:marRight w:val="0"/>
      <w:marTop w:val="0"/>
      <w:marBottom w:val="0"/>
      <w:divBdr>
        <w:top w:val="none" w:sz="0" w:space="0" w:color="auto"/>
        <w:left w:val="none" w:sz="0" w:space="0" w:color="auto"/>
        <w:bottom w:val="none" w:sz="0" w:space="0" w:color="auto"/>
        <w:right w:val="none" w:sz="0" w:space="0" w:color="auto"/>
      </w:divBdr>
    </w:div>
    <w:div w:id="1069959509">
      <w:bodyDiv w:val="1"/>
      <w:marLeft w:val="0"/>
      <w:marRight w:val="0"/>
      <w:marTop w:val="0"/>
      <w:marBottom w:val="0"/>
      <w:divBdr>
        <w:top w:val="none" w:sz="0" w:space="0" w:color="auto"/>
        <w:left w:val="none" w:sz="0" w:space="0" w:color="auto"/>
        <w:bottom w:val="none" w:sz="0" w:space="0" w:color="auto"/>
        <w:right w:val="none" w:sz="0" w:space="0" w:color="auto"/>
      </w:divBdr>
    </w:div>
    <w:div w:id="1192382799">
      <w:bodyDiv w:val="1"/>
      <w:marLeft w:val="0"/>
      <w:marRight w:val="0"/>
      <w:marTop w:val="0"/>
      <w:marBottom w:val="0"/>
      <w:divBdr>
        <w:top w:val="none" w:sz="0" w:space="0" w:color="auto"/>
        <w:left w:val="none" w:sz="0" w:space="0" w:color="auto"/>
        <w:bottom w:val="none" w:sz="0" w:space="0" w:color="auto"/>
        <w:right w:val="none" w:sz="0" w:space="0" w:color="auto"/>
      </w:divBdr>
    </w:div>
    <w:div w:id="1192765325">
      <w:bodyDiv w:val="1"/>
      <w:marLeft w:val="0"/>
      <w:marRight w:val="0"/>
      <w:marTop w:val="0"/>
      <w:marBottom w:val="0"/>
      <w:divBdr>
        <w:top w:val="none" w:sz="0" w:space="0" w:color="auto"/>
        <w:left w:val="none" w:sz="0" w:space="0" w:color="auto"/>
        <w:bottom w:val="none" w:sz="0" w:space="0" w:color="auto"/>
        <w:right w:val="none" w:sz="0" w:space="0" w:color="auto"/>
      </w:divBdr>
    </w:div>
    <w:div w:id="1217090400">
      <w:bodyDiv w:val="1"/>
      <w:marLeft w:val="0"/>
      <w:marRight w:val="0"/>
      <w:marTop w:val="0"/>
      <w:marBottom w:val="0"/>
      <w:divBdr>
        <w:top w:val="none" w:sz="0" w:space="0" w:color="auto"/>
        <w:left w:val="none" w:sz="0" w:space="0" w:color="auto"/>
        <w:bottom w:val="none" w:sz="0" w:space="0" w:color="auto"/>
        <w:right w:val="none" w:sz="0" w:space="0" w:color="auto"/>
      </w:divBdr>
    </w:div>
    <w:div w:id="1236933026">
      <w:bodyDiv w:val="1"/>
      <w:marLeft w:val="0"/>
      <w:marRight w:val="0"/>
      <w:marTop w:val="0"/>
      <w:marBottom w:val="0"/>
      <w:divBdr>
        <w:top w:val="none" w:sz="0" w:space="0" w:color="auto"/>
        <w:left w:val="none" w:sz="0" w:space="0" w:color="auto"/>
        <w:bottom w:val="none" w:sz="0" w:space="0" w:color="auto"/>
        <w:right w:val="none" w:sz="0" w:space="0" w:color="auto"/>
      </w:divBdr>
    </w:div>
    <w:div w:id="1367290277">
      <w:bodyDiv w:val="1"/>
      <w:marLeft w:val="0"/>
      <w:marRight w:val="0"/>
      <w:marTop w:val="0"/>
      <w:marBottom w:val="0"/>
      <w:divBdr>
        <w:top w:val="none" w:sz="0" w:space="0" w:color="auto"/>
        <w:left w:val="none" w:sz="0" w:space="0" w:color="auto"/>
        <w:bottom w:val="none" w:sz="0" w:space="0" w:color="auto"/>
        <w:right w:val="none" w:sz="0" w:space="0" w:color="auto"/>
      </w:divBdr>
    </w:div>
    <w:div w:id="1460294077">
      <w:bodyDiv w:val="1"/>
      <w:marLeft w:val="0"/>
      <w:marRight w:val="0"/>
      <w:marTop w:val="0"/>
      <w:marBottom w:val="0"/>
      <w:divBdr>
        <w:top w:val="none" w:sz="0" w:space="0" w:color="auto"/>
        <w:left w:val="none" w:sz="0" w:space="0" w:color="auto"/>
        <w:bottom w:val="none" w:sz="0" w:space="0" w:color="auto"/>
        <w:right w:val="none" w:sz="0" w:space="0" w:color="auto"/>
      </w:divBdr>
    </w:div>
    <w:div w:id="1474955159">
      <w:bodyDiv w:val="1"/>
      <w:marLeft w:val="0"/>
      <w:marRight w:val="0"/>
      <w:marTop w:val="0"/>
      <w:marBottom w:val="0"/>
      <w:divBdr>
        <w:top w:val="none" w:sz="0" w:space="0" w:color="auto"/>
        <w:left w:val="none" w:sz="0" w:space="0" w:color="auto"/>
        <w:bottom w:val="none" w:sz="0" w:space="0" w:color="auto"/>
        <w:right w:val="none" w:sz="0" w:space="0" w:color="auto"/>
      </w:divBdr>
    </w:div>
    <w:div w:id="1637836534">
      <w:bodyDiv w:val="1"/>
      <w:marLeft w:val="0"/>
      <w:marRight w:val="0"/>
      <w:marTop w:val="0"/>
      <w:marBottom w:val="0"/>
      <w:divBdr>
        <w:top w:val="none" w:sz="0" w:space="0" w:color="auto"/>
        <w:left w:val="none" w:sz="0" w:space="0" w:color="auto"/>
        <w:bottom w:val="none" w:sz="0" w:space="0" w:color="auto"/>
        <w:right w:val="none" w:sz="0" w:space="0" w:color="auto"/>
      </w:divBdr>
    </w:div>
    <w:div w:id="1738550904">
      <w:bodyDiv w:val="1"/>
      <w:marLeft w:val="0"/>
      <w:marRight w:val="0"/>
      <w:marTop w:val="0"/>
      <w:marBottom w:val="0"/>
      <w:divBdr>
        <w:top w:val="none" w:sz="0" w:space="0" w:color="auto"/>
        <w:left w:val="none" w:sz="0" w:space="0" w:color="auto"/>
        <w:bottom w:val="none" w:sz="0" w:space="0" w:color="auto"/>
        <w:right w:val="none" w:sz="0" w:space="0" w:color="auto"/>
      </w:divBdr>
    </w:div>
    <w:div w:id="1766025860">
      <w:bodyDiv w:val="1"/>
      <w:marLeft w:val="0"/>
      <w:marRight w:val="0"/>
      <w:marTop w:val="0"/>
      <w:marBottom w:val="0"/>
      <w:divBdr>
        <w:top w:val="none" w:sz="0" w:space="0" w:color="auto"/>
        <w:left w:val="none" w:sz="0" w:space="0" w:color="auto"/>
        <w:bottom w:val="none" w:sz="0" w:space="0" w:color="auto"/>
        <w:right w:val="none" w:sz="0" w:space="0" w:color="auto"/>
      </w:divBdr>
    </w:div>
    <w:div w:id="1845197651">
      <w:bodyDiv w:val="1"/>
      <w:marLeft w:val="0"/>
      <w:marRight w:val="0"/>
      <w:marTop w:val="0"/>
      <w:marBottom w:val="0"/>
      <w:divBdr>
        <w:top w:val="none" w:sz="0" w:space="0" w:color="auto"/>
        <w:left w:val="none" w:sz="0" w:space="0" w:color="auto"/>
        <w:bottom w:val="none" w:sz="0" w:space="0" w:color="auto"/>
        <w:right w:val="none" w:sz="0" w:space="0" w:color="auto"/>
      </w:divBdr>
    </w:div>
    <w:div w:id="2009406004">
      <w:bodyDiv w:val="1"/>
      <w:marLeft w:val="0"/>
      <w:marRight w:val="0"/>
      <w:marTop w:val="0"/>
      <w:marBottom w:val="0"/>
      <w:divBdr>
        <w:top w:val="none" w:sz="0" w:space="0" w:color="auto"/>
        <w:left w:val="none" w:sz="0" w:space="0" w:color="auto"/>
        <w:bottom w:val="none" w:sz="0" w:space="0" w:color="auto"/>
        <w:right w:val="none" w:sz="0" w:space="0" w:color="auto"/>
      </w:divBdr>
    </w:div>
    <w:div w:id="212240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emf"/><Relationship Id="rId27" Type="http://schemas.openxmlformats.org/officeDocument/2006/relationships/image" Target="media/image15.em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F5B20B-AFEC-4787-8B9E-975DBCD0D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14</Pages>
  <Words>2186</Words>
  <Characters>12466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HGAC</Company>
  <LinksUpToDate>false</LinksUpToDate>
  <CharactersWithSpaces>14623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Gulf Coast Workforce Trends in Professional, Scientific, and Technical Services</dc:title>
  <dc:subject>Gulf Coast Workforce Trends in Professional, Scientific, and Technical Services</dc:subject>
  <dc:creator>Borski</dc:creator>
  <cp:keywords>Gulf Coast Workforce Trends in Professional, Scientific, and Technical Services</cp:keywords>
  <cp:lastModifiedBy>nguyend</cp:lastModifiedBy>
  <cp:revision>4</cp:revision>
  <cp:lastPrinted>2016-01-26T20:14:00Z</cp:lastPrinted>
  <dcterms:created xsi:type="dcterms:W3CDTF">2016-02-29T12:43:00Z</dcterms:created>
  <dcterms:modified xsi:type="dcterms:W3CDTF">2016-02-29T13:40:00Z</dcterms:modified>
  <cp:category>Industry Special Reports</cp:category>
</cp:coreProperties>
</file>