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B5E" w:rsidRPr="00FF45B2" w:rsidRDefault="009D5640">
      <w:pPr>
        <w:pStyle w:val="Heading8"/>
        <w:rPr>
          <w:rFonts w:ascii="Garamond" w:hAnsi="Garamond"/>
        </w:rPr>
      </w:pPr>
      <w:r w:rsidRPr="00FF45B2">
        <w:rPr>
          <w:rFonts w:ascii="Garamond" w:hAnsi="Garamond"/>
        </w:rPr>
        <w:t xml:space="preserve">                                                                                                                                                                                                                                                                                                                                                                                                                                                                                                                                                                                                                                                                                                                                                                                                                                                                                                                                                                                                                                                                                                                                                                                                                                                                                                                                                                                                                                                                                                                                                                                                                                                                                                                                                                                                                                                                                                                                                                                                                                                                                                                                                                                                                                                                                                                                                                                                                                                                                                                                                                                                                                                                                                      </w:t>
      </w:r>
      <w:bookmarkStart w:id="0" w:name="OLE_LINK3"/>
      <w:bookmarkStart w:id="1" w:name="OLE_LINK4"/>
      <w:r w:rsidR="006278FA" w:rsidRPr="00FF45B2">
        <w:rPr>
          <w:rFonts w:ascii="Garamond" w:hAnsi="Garamond"/>
        </w:rPr>
        <w:t>Workforce Demands</w:t>
      </w:r>
    </w:p>
    <w:p w:rsidR="002D5B5E" w:rsidRPr="00FF45B2" w:rsidRDefault="00723F32">
      <w:pPr>
        <w:pBdr>
          <w:bottom w:val="double" w:sz="6" w:space="4" w:color="auto"/>
        </w:pBdr>
        <w:jc w:val="right"/>
        <w:rPr>
          <w:rFonts w:ascii="Garamond" w:hAnsi="Garamond"/>
          <w:sz w:val="48"/>
        </w:rPr>
      </w:pPr>
      <w:r w:rsidRPr="00FF45B2">
        <w:rPr>
          <w:rFonts w:ascii="Garamond" w:hAnsi="Garamond"/>
          <w:sz w:val="48"/>
        </w:rPr>
        <w:t>In</w:t>
      </w:r>
      <w:r w:rsidR="002D5B5E" w:rsidRPr="00FF45B2">
        <w:rPr>
          <w:rFonts w:ascii="Garamond" w:hAnsi="Garamond"/>
          <w:sz w:val="48"/>
        </w:rPr>
        <w:t xml:space="preserve"> the </w:t>
      </w:r>
      <w:r w:rsidR="00DD67D9" w:rsidRPr="00FF45B2">
        <w:rPr>
          <w:rFonts w:ascii="Garamond" w:hAnsi="Garamond"/>
          <w:sz w:val="48"/>
        </w:rPr>
        <w:t>Education</w:t>
      </w:r>
      <w:r w:rsidR="009E21D3" w:rsidRPr="00FF45B2">
        <w:rPr>
          <w:rFonts w:ascii="Garamond" w:hAnsi="Garamond"/>
          <w:sz w:val="48"/>
        </w:rPr>
        <w:t>al</w:t>
      </w:r>
      <w:r w:rsidR="000B06BD" w:rsidRPr="00FF45B2">
        <w:rPr>
          <w:rFonts w:ascii="Garamond" w:hAnsi="Garamond"/>
          <w:sz w:val="48"/>
        </w:rPr>
        <w:t xml:space="preserve"> Services</w:t>
      </w:r>
      <w:r w:rsidR="00DD67D9" w:rsidRPr="00FF45B2">
        <w:rPr>
          <w:rFonts w:ascii="Garamond" w:hAnsi="Garamond"/>
          <w:sz w:val="48"/>
        </w:rPr>
        <w:t xml:space="preserve"> Industry</w:t>
      </w:r>
    </w:p>
    <w:bookmarkEnd w:id="0"/>
    <w:bookmarkEnd w:id="1"/>
    <w:p w:rsidR="002D5B5E" w:rsidRPr="00FF45B2" w:rsidRDefault="002D5B5E">
      <w:pPr>
        <w:pStyle w:val="Heading2"/>
        <w:jc w:val="right"/>
        <w:rPr>
          <w:rFonts w:ascii="Garamond" w:hAnsi="Garamond"/>
          <w:b w:val="0"/>
          <w:sz w:val="40"/>
        </w:rPr>
      </w:pPr>
    </w:p>
    <w:p w:rsidR="002D5B5E" w:rsidRPr="00FF45B2" w:rsidRDefault="002D5B5E">
      <w:pPr>
        <w:pStyle w:val="Heading2"/>
        <w:rPr>
          <w:rFonts w:ascii="Garamond" w:hAnsi="Garamond"/>
          <w:b w:val="0"/>
          <w:smallCaps/>
          <w:sz w:val="36"/>
        </w:rPr>
      </w:pPr>
    </w:p>
    <w:p w:rsidR="002D5B5E" w:rsidRPr="00FF45B2" w:rsidRDefault="002D5B5E">
      <w:pPr>
        <w:rPr>
          <w:rFonts w:ascii="Garamond" w:hAnsi="Garamond"/>
        </w:rPr>
      </w:pPr>
    </w:p>
    <w:p w:rsidR="002D5B5E" w:rsidRPr="00FF45B2" w:rsidRDefault="002D5B5E">
      <w:pPr>
        <w:jc w:val="right"/>
        <w:rPr>
          <w:rFonts w:ascii="Garamond" w:hAnsi="Garamond"/>
          <w:b/>
          <w:smallCaps/>
          <w:sz w:val="32"/>
        </w:rPr>
      </w:pPr>
    </w:p>
    <w:p w:rsidR="002D5B5E" w:rsidRPr="00FF45B2" w:rsidRDefault="000A0AA2">
      <w:pPr>
        <w:jc w:val="right"/>
        <w:rPr>
          <w:rFonts w:ascii="Garamond" w:hAnsi="Garamond"/>
          <w:sz w:val="48"/>
          <w:szCs w:val="48"/>
        </w:rPr>
      </w:pPr>
      <w:r w:rsidRPr="00FF45B2">
        <w:rPr>
          <w:rFonts w:ascii="Garamond" w:hAnsi="Garamond"/>
          <w:sz w:val="48"/>
          <w:szCs w:val="48"/>
        </w:rPr>
        <w:t>Workforce Solutions</w:t>
      </w:r>
    </w:p>
    <w:p w:rsidR="002D5B5E" w:rsidRPr="00FF45B2" w:rsidRDefault="002D5B5E">
      <w:pPr>
        <w:jc w:val="right"/>
        <w:rPr>
          <w:rFonts w:ascii="Garamond" w:hAnsi="Garamond"/>
          <w:sz w:val="28"/>
        </w:rPr>
      </w:pPr>
    </w:p>
    <w:p w:rsidR="002D5B5E" w:rsidRPr="00FF45B2" w:rsidRDefault="002D5B5E">
      <w:pPr>
        <w:jc w:val="right"/>
        <w:rPr>
          <w:rFonts w:ascii="Garamond" w:hAnsi="Garamond"/>
          <w:sz w:val="28"/>
        </w:rPr>
      </w:pPr>
    </w:p>
    <w:p w:rsidR="002D5B5E" w:rsidRPr="00FF45B2" w:rsidRDefault="00DD67D9">
      <w:pPr>
        <w:pStyle w:val="Heading1"/>
        <w:jc w:val="right"/>
        <w:rPr>
          <w:rFonts w:ascii="Garamond" w:hAnsi="Garamond"/>
          <w:b w:val="0"/>
          <w:smallCaps w:val="0"/>
        </w:rPr>
      </w:pPr>
      <w:r w:rsidRPr="00FF45B2">
        <w:rPr>
          <w:rFonts w:ascii="Garamond" w:hAnsi="Garamond"/>
          <w:b w:val="0"/>
          <w:smallCaps w:val="0"/>
        </w:rPr>
        <w:t>October</w:t>
      </w:r>
      <w:r w:rsidR="000A0AA2" w:rsidRPr="00FF45B2">
        <w:rPr>
          <w:rFonts w:ascii="Garamond" w:hAnsi="Garamond"/>
          <w:b w:val="0"/>
          <w:smallCaps w:val="0"/>
        </w:rPr>
        <w:t xml:space="preserve"> 201</w:t>
      </w:r>
      <w:r w:rsidR="00B06842" w:rsidRPr="00FF45B2">
        <w:rPr>
          <w:rFonts w:ascii="Garamond" w:hAnsi="Garamond"/>
          <w:b w:val="0"/>
          <w:smallCaps w:val="0"/>
        </w:rPr>
        <w:t>5</w:t>
      </w:r>
    </w:p>
    <w:p w:rsidR="000A0AA2" w:rsidRPr="00FF45B2" w:rsidRDefault="000A0AA2" w:rsidP="000A0AA2">
      <w:pPr>
        <w:rPr>
          <w:rFonts w:ascii="Garamond" w:hAnsi="Garamond"/>
        </w:rPr>
      </w:pPr>
    </w:p>
    <w:p w:rsidR="000A0AA2" w:rsidRPr="00FF45B2" w:rsidRDefault="000A0AA2" w:rsidP="000A0AA2">
      <w:pPr>
        <w:rPr>
          <w:rFonts w:ascii="Garamond" w:hAnsi="Garamond"/>
        </w:rPr>
      </w:pPr>
    </w:p>
    <w:p w:rsidR="000A0AA2" w:rsidRPr="00FF45B2" w:rsidRDefault="000A0AA2" w:rsidP="000A0AA2">
      <w:pPr>
        <w:rPr>
          <w:rFonts w:ascii="Garamond" w:hAnsi="Garamond"/>
        </w:rPr>
      </w:pPr>
    </w:p>
    <w:p w:rsidR="002D5B5E" w:rsidRPr="00FF45B2" w:rsidRDefault="002D5B5E">
      <w:pPr>
        <w:pStyle w:val="Heading2"/>
        <w:jc w:val="right"/>
        <w:rPr>
          <w:rFonts w:ascii="Garamond" w:hAnsi="Garamond"/>
          <w:b w:val="0"/>
          <w:smallCaps/>
          <w:sz w:val="36"/>
        </w:rPr>
      </w:pPr>
    </w:p>
    <w:p w:rsidR="002D5B5E" w:rsidRPr="00FF45B2" w:rsidRDefault="002D5B5E">
      <w:pPr>
        <w:pStyle w:val="Heading2"/>
        <w:jc w:val="right"/>
        <w:rPr>
          <w:rFonts w:ascii="Garamond" w:hAnsi="Garamond"/>
          <w:b w:val="0"/>
          <w:smallCaps/>
          <w:sz w:val="36"/>
        </w:rPr>
      </w:pPr>
    </w:p>
    <w:p w:rsidR="002D5B5E" w:rsidRPr="00FF45B2" w:rsidRDefault="002D5B5E">
      <w:pPr>
        <w:pStyle w:val="Heading2"/>
        <w:jc w:val="right"/>
        <w:rPr>
          <w:rFonts w:ascii="Garamond" w:hAnsi="Garamond"/>
          <w:b w:val="0"/>
          <w:smallCaps/>
          <w:sz w:val="36"/>
        </w:rPr>
      </w:pPr>
    </w:p>
    <w:p w:rsidR="002D5B5E" w:rsidRPr="00FF45B2" w:rsidRDefault="002D5B5E">
      <w:pPr>
        <w:jc w:val="right"/>
        <w:rPr>
          <w:rFonts w:ascii="Garamond" w:hAnsi="Garamond"/>
        </w:rPr>
      </w:pPr>
    </w:p>
    <w:p w:rsidR="002D5B5E" w:rsidRPr="00FF45B2" w:rsidRDefault="002D5B5E">
      <w:pPr>
        <w:jc w:val="right"/>
        <w:rPr>
          <w:rFonts w:ascii="Garamond" w:hAnsi="Garamond"/>
        </w:rPr>
      </w:pPr>
    </w:p>
    <w:p w:rsidR="002D5B5E" w:rsidRPr="00FF45B2" w:rsidRDefault="002D5B5E">
      <w:pPr>
        <w:jc w:val="right"/>
        <w:rPr>
          <w:rFonts w:ascii="Garamond" w:hAnsi="Garamond"/>
        </w:rPr>
      </w:pPr>
    </w:p>
    <w:p w:rsidR="002D5B5E" w:rsidRPr="00FF45B2" w:rsidRDefault="002D5B5E">
      <w:pPr>
        <w:jc w:val="right"/>
        <w:rPr>
          <w:rFonts w:ascii="Garamond" w:hAnsi="Garamond"/>
        </w:rPr>
      </w:pPr>
    </w:p>
    <w:p w:rsidR="000A0AA2" w:rsidRPr="00FF45B2" w:rsidRDefault="000A0AA2">
      <w:pPr>
        <w:pStyle w:val="BodyText"/>
        <w:spacing w:after="0"/>
        <w:ind w:firstLine="720"/>
        <w:jc w:val="center"/>
        <w:rPr>
          <w:rFonts w:ascii="Garamond" w:hAnsi="Garamond"/>
          <w:i/>
          <w:sz w:val="20"/>
        </w:rPr>
      </w:pPr>
    </w:p>
    <w:p w:rsidR="002D5B5E" w:rsidRPr="00FF45B2" w:rsidRDefault="002D5B5E">
      <w:pPr>
        <w:pStyle w:val="BodyText"/>
        <w:spacing w:after="0"/>
        <w:ind w:firstLine="720"/>
        <w:jc w:val="center"/>
        <w:rPr>
          <w:rFonts w:ascii="Garamond" w:hAnsi="Garamond"/>
          <w:i/>
          <w:sz w:val="20"/>
        </w:rPr>
      </w:pPr>
      <w:r w:rsidRPr="00FF45B2">
        <w:rPr>
          <w:rFonts w:ascii="Garamond" w:hAnsi="Garamond"/>
          <w:i/>
          <w:sz w:val="20"/>
        </w:rPr>
        <w:t>*</w:t>
      </w:r>
      <w:r w:rsidR="000A0AA2" w:rsidRPr="00FF45B2">
        <w:rPr>
          <w:rFonts w:ascii="Garamond" w:hAnsi="Garamond"/>
          <w:i/>
          <w:sz w:val="20"/>
        </w:rPr>
        <w:t>Workforce Solutions</w:t>
      </w:r>
      <w:r w:rsidRPr="00FF45B2">
        <w:rPr>
          <w:rFonts w:ascii="Garamond" w:hAnsi="Garamond"/>
          <w:i/>
          <w:sz w:val="20"/>
        </w:rPr>
        <w:t xml:space="preserve"> is an affiliate of the Gulf Coast </w:t>
      </w:r>
      <w:smartTag w:uri="urn:schemas-microsoft-com:office:smarttags" w:element="PersonName">
        <w:r w:rsidRPr="00FF45B2">
          <w:rPr>
            <w:rFonts w:ascii="Garamond" w:hAnsi="Garamond"/>
            <w:i/>
            <w:sz w:val="20"/>
          </w:rPr>
          <w:t>Workforce</w:t>
        </w:r>
      </w:smartTag>
      <w:r w:rsidRPr="00FF45B2">
        <w:rPr>
          <w:rFonts w:ascii="Garamond" w:hAnsi="Garamond"/>
          <w:i/>
          <w:sz w:val="20"/>
        </w:rPr>
        <w:t xml:space="preserve"> Board, which manages a</w:t>
      </w:r>
    </w:p>
    <w:p w:rsidR="002D5B5E" w:rsidRPr="00FF45B2" w:rsidRDefault="002D5B5E">
      <w:pPr>
        <w:pStyle w:val="BodyText"/>
        <w:spacing w:after="0"/>
        <w:ind w:firstLine="720"/>
        <w:jc w:val="center"/>
        <w:rPr>
          <w:rFonts w:ascii="Garamond" w:hAnsi="Garamond"/>
          <w:i/>
          <w:sz w:val="20"/>
        </w:rPr>
      </w:pPr>
      <w:r w:rsidRPr="00FF45B2">
        <w:rPr>
          <w:rFonts w:ascii="Garamond" w:hAnsi="Garamond"/>
          <w:i/>
          <w:sz w:val="20"/>
        </w:rPr>
        <w:t xml:space="preserve"> regional workforce system that helps employers solve their workforce problems and residents build careers so both can compete in the global economy. The workforce system serves</w:t>
      </w:r>
    </w:p>
    <w:p w:rsidR="000C1BB4" w:rsidRPr="00FF45B2" w:rsidRDefault="002D5B5E" w:rsidP="005357EE">
      <w:pPr>
        <w:pStyle w:val="BodyText"/>
        <w:spacing w:after="0"/>
        <w:ind w:firstLine="720"/>
        <w:jc w:val="center"/>
        <w:rPr>
          <w:rFonts w:ascii="Garamond" w:hAnsi="Garamond"/>
          <w:i/>
          <w:sz w:val="20"/>
        </w:rPr>
      </w:pPr>
      <w:r w:rsidRPr="00FF45B2">
        <w:rPr>
          <w:rFonts w:ascii="Garamond" w:hAnsi="Garamond"/>
          <w:i/>
          <w:sz w:val="20"/>
        </w:rPr>
        <w:t xml:space="preserve"> the City of Houston and the surround</w:t>
      </w:r>
      <w:r w:rsidR="000C1BB4" w:rsidRPr="00FF45B2">
        <w:rPr>
          <w:rFonts w:ascii="Garamond" w:hAnsi="Garamond"/>
          <w:i/>
          <w:sz w:val="20"/>
        </w:rPr>
        <w:t>ing 13 Texas Gulf Coast counties including:</w:t>
      </w:r>
    </w:p>
    <w:p w:rsidR="000C1BB4" w:rsidRPr="00FF45B2" w:rsidRDefault="000C1BB4" w:rsidP="005357EE">
      <w:pPr>
        <w:pStyle w:val="BodyText"/>
        <w:spacing w:after="0"/>
        <w:ind w:firstLine="720"/>
        <w:jc w:val="center"/>
        <w:rPr>
          <w:rFonts w:ascii="Garamond" w:hAnsi="Garamond"/>
          <w:i/>
          <w:sz w:val="20"/>
        </w:rPr>
      </w:pPr>
      <w:r w:rsidRPr="00FF45B2">
        <w:rPr>
          <w:rFonts w:ascii="Garamond" w:hAnsi="Garamond"/>
          <w:i/>
          <w:sz w:val="20"/>
        </w:rPr>
        <w:t>Austin, Brazoria, Chambers, Colorado, Fort Bend, Galveston, Harris</w:t>
      </w:r>
    </w:p>
    <w:p w:rsidR="002D5B5E" w:rsidRPr="00FF45B2" w:rsidRDefault="000C1BB4" w:rsidP="005357EE">
      <w:pPr>
        <w:pStyle w:val="BodyText"/>
        <w:spacing w:after="0"/>
        <w:ind w:firstLine="720"/>
        <w:jc w:val="center"/>
        <w:rPr>
          <w:rFonts w:ascii="Garamond" w:hAnsi="Garamond"/>
        </w:rPr>
        <w:sectPr w:rsidR="002D5B5E" w:rsidRPr="00FF45B2">
          <w:headerReference w:type="even" r:id="rId8"/>
          <w:headerReference w:type="default" r:id="rId9"/>
          <w:footerReference w:type="even" r:id="rId10"/>
          <w:footerReference w:type="default" r:id="rId11"/>
          <w:headerReference w:type="first" r:id="rId12"/>
          <w:footerReference w:type="first" r:id="rId13"/>
          <w:pgSz w:w="12240" w:h="15840"/>
          <w:pgMar w:top="2880" w:right="1800" w:bottom="1440" w:left="1800" w:header="720" w:footer="720" w:gutter="0"/>
          <w:cols w:space="720"/>
          <w:titlePg/>
        </w:sectPr>
      </w:pPr>
      <w:r w:rsidRPr="00FF45B2">
        <w:rPr>
          <w:rFonts w:ascii="Garamond" w:hAnsi="Garamond"/>
          <w:i/>
          <w:sz w:val="20"/>
        </w:rPr>
        <w:t>Liberty, Matagorda, Montgomery, Walker, Waller, and Wharto</w:t>
      </w:r>
      <w:r w:rsidR="00730DA2">
        <w:rPr>
          <w:rFonts w:ascii="Garamond" w:hAnsi="Garamond"/>
          <w:i/>
          <w:sz w:val="20"/>
        </w:rPr>
        <w:t>n</w:t>
      </w:r>
    </w:p>
    <w:p w:rsidR="00491A8D" w:rsidRPr="00730DA2" w:rsidRDefault="00730965" w:rsidP="00730DA2">
      <w:pPr>
        <w:pStyle w:val="Heading1"/>
        <w:jc w:val="both"/>
        <w:rPr>
          <w:rFonts w:ascii="Garamond" w:hAnsi="Garamond"/>
          <w:b w:val="0"/>
          <w:smallCaps w:val="0"/>
          <w:sz w:val="36"/>
        </w:rPr>
      </w:pPr>
      <w:r w:rsidRPr="00874DE2">
        <w:rPr>
          <w:rFonts w:ascii="Garamond" w:hAnsi="Garamond"/>
          <w:sz w:val="24"/>
          <w:szCs w:val="24"/>
          <w:u w:val="single"/>
        </w:rPr>
        <w:lastRenderedPageBreak/>
        <w:t>Overview of</w:t>
      </w:r>
      <w:r w:rsidR="00674E0C" w:rsidRPr="00874DE2">
        <w:rPr>
          <w:rFonts w:ascii="Garamond" w:hAnsi="Garamond"/>
          <w:sz w:val="24"/>
          <w:szCs w:val="24"/>
          <w:u w:val="single"/>
        </w:rPr>
        <w:t xml:space="preserve"> </w:t>
      </w:r>
      <w:r w:rsidR="000B06BD" w:rsidRPr="00874DE2">
        <w:rPr>
          <w:rFonts w:ascii="Garamond" w:hAnsi="Garamond"/>
          <w:sz w:val="24"/>
          <w:szCs w:val="24"/>
          <w:u w:val="single"/>
        </w:rPr>
        <w:t>Education</w:t>
      </w:r>
      <w:r w:rsidR="009E21D3" w:rsidRPr="00874DE2">
        <w:rPr>
          <w:rFonts w:ascii="Garamond" w:hAnsi="Garamond"/>
          <w:sz w:val="24"/>
          <w:szCs w:val="24"/>
          <w:u w:val="single"/>
        </w:rPr>
        <w:t>al</w:t>
      </w:r>
      <w:r w:rsidR="000B06BD" w:rsidRPr="00874DE2">
        <w:rPr>
          <w:rFonts w:ascii="Garamond" w:hAnsi="Garamond"/>
          <w:sz w:val="24"/>
          <w:szCs w:val="24"/>
          <w:u w:val="single"/>
        </w:rPr>
        <w:t xml:space="preserve"> Services</w:t>
      </w:r>
    </w:p>
    <w:p w:rsidR="008D0488" w:rsidRPr="00FF45B2" w:rsidRDefault="008D0488" w:rsidP="004C6539">
      <w:pPr>
        <w:pStyle w:val="Heading7"/>
        <w:spacing w:after="0"/>
        <w:rPr>
          <w:rFonts w:ascii="Garamond" w:hAnsi="Garamond"/>
          <w:b w:val="0"/>
          <w:color w:val="000000" w:themeColor="text1"/>
          <w:sz w:val="24"/>
        </w:rPr>
      </w:pPr>
    </w:p>
    <w:p w:rsidR="00483CDB" w:rsidRDefault="00B40CB7" w:rsidP="00B3322A">
      <w:pPr>
        <w:pStyle w:val="Heading7"/>
        <w:spacing w:after="0"/>
        <w:rPr>
          <w:rFonts w:ascii="Garamond" w:hAnsi="Garamond"/>
          <w:b w:val="0"/>
          <w:color w:val="000000" w:themeColor="text1"/>
          <w:sz w:val="24"/>
        </w:rPr>
      </w:pPr>
      <w:r w:rsidRPr="00FF45B2">
        <w:rPr>
          <w:rFonts w:ascii="Garamond" w:hAnsi="Garamond"/>
          <w:b w:val="0"/>
          <w:color w:val="000000" w:themeColor="text1"/>
          <w:sz w:val="24"/>
        </w:rPr>
        <w:t>As an institution, e</w:t>
      </w:r>
      <w:r w:rsidR="000B06BD" w:rsidRPr="00FF45B2">
        <w:rPr>
          <w:rFonts w:ascii="Garamond" w:hAnsi="Garamond"/>
          <w:b w:val="0"/>
          <w:color w:val="000000" w:themeColor="text1"/>
          <w:sz w:val="24"/>
        </w:rPr>
        <w:t xml:space="preserve">ducation </w:t>
      </w:r>
      <w:r w:rsidRPr="00FF45B2">
        <w:rPr>
          <w:rFonts w:ascii="Garamond" w:hAnsi="Garamond"/>
          <w:b w:val="0"/>
          <w:color w:val="000000" w:themeColor="text1"/>
          <w:sz w:val="24"/>
        </w:rPr>
        <w:t>provides</w:t>
      </w:r>
      <w:r w:rsidR="000B06BD" w:rsidRPr="00FF45B2">
        <w:rPr>
          <w:rFonts w:ascii="Garamond" w:hAnsi="Garamond"/>
          <w:b w:val="0"/>
          <w:color w:val="000000" w:themeColor="text1"/>
          <w:sz w:val="24"/>
        </w:rPr>
        <w:t xml:space="preserve"> the </w:t>
      </w:r>
      <w:r w:rsidRPr="00FF45B2">
        <w:rPr>
          <w:rFonts w:ascii="Garamond" w:hAnsi="Garamond"/>
          <w:b w:val="0"/>
          <w:color w:val="000000" w:themeColor="text1"/>
          <w:sz w:val="24"/>
        </w:rPr>
        <w:t>basis</w:t>
      </w:r>
      <w:r w:rsidR="000B06BD" w:rsidRPr="00FF45B2">
        <w:rPr>
          <w:rFonts w:ascii="Garamond" w:hAnsi="Garamond"/>
          <w:b w:val="0"/>
          <w:color w:val="000000" w:themeColor="text1"/>
          <w:sz w:val="24"/>
        </w:rPr>
        <w:t xml:space="preserve"> for </w:t>
      </w:r>
      <w:r w:rsidRPr="00FF45B2">
        <w:rPr>
          <w:rFonts w:ascii="Garamond" w:hAnsi="Garamond"/>
          <w:b w:val="0"/>
          <w:color w:val="000000" w:themeColor="text1"/>
          <w:sz w:val="24"/>
        </w:rPr>
        <w:t xml:space="preserve">knowledge and </w:t>
      </w:r>
      <w:r w:rsidR="000B06BD" w:rsidRPr="00FF45B2">
        <w:rPr>
          <w:rFonts w:ascii="Garamond" w:hAnsi="Garamond"/>
          <w:b w:val="0"/>
          <w:color w:val="000000" w:themeColor="text1"/>
          <w:sz w:val="24"/>
        </w:rPr>
        <w:t>skill acquisition</w:t>
      </w:r>
      <w:r w:rsidRPr="00FF45B2">
        <w:rPr>
          <w:rFonts w:ascii="Garamond" w:hAnsi="Garamond"/>
          <w:b w:val="0"/>
          <w:color w:val="000000" w:themeColor="text1"/>
          <w:sz w:val="24"/>
        </w:rPr>
        <w:t xml:space="preserve"> </w:t>
      </w:r>
      <w:r w:rsidR="009860F8">
        <w:rPr>
          <w:rFonts w:ascii="Garamond" w:hAnsi="Garamond"/>
          <w:b w:val="0"/>
          <w:color w:val="000000" w:themeColor="text1"/>
          <w:sz w:val="24"/>
        </w:rPr>
        <w:t>designed to</w:t>
      </w:r>
      <w:r w:rsidRPr="00FF45B2">
        <w:rPr>
          <w:rFonts w:ascii="Garamond" w:hAnsi="Garamond"/>
          <w:b w:val="0"/>
          <w:color w:val="000000" w:themeColor="text1"/>
          <w:sz w:val="24"/>
        </w:rPr>
        <w:t xml:space="preserve"> </w:t>
      </w:r>
      <w:r w:rsidR="00C57847" w:rsidRPr="00FF45B2">
        <w:rPr>
          <w:rFonts w:ascii="Garamond" w:hAnsi="Garamond"/>
          <w:b w:val="0"/>
          <w:color w:val="000000" w:themeColor="text1"/>
          <w:sz w:val="24"/>
        </w:rPr>
        <w:t>prepare individuals for</w:t>
      </w:r>
      <w:r w:rsidRPr="00FF45B2">
        <w:rPr>
          <w:rFonts w:ascii="Garamond" w:hAnsi="Garamond"/>
          <w:b w:val="0"/>
          <w:color w:val="000000" w:themeColor="text1"/>
          <w:sz w:val="24"/>
        </w:rPr>
        <w:t xml:space="preserve"> </w:t>
      </w:r>
      <w:r w:rsidR="00A52491">
        <w:rPr>
          <w:rFonts w:ascii="Garamond" w:hAnsi="Garamond"/>
          <w:b w:val="0"/>
          <w:color w:val="000000" w:themeColor="text1"/>
          <w:sz w:val="24"/>
        </w:rPr>
        <w:t>a lifetime of gainful</w:t>
      </w:r>
      <w:r w:rsidRPr="00FF45B2">
        <w:rPr>
          <w:rFonts w:ascii="Garamond" w:hAnsi="Garamond"/>
          <w:b w:val="0"/>
          <w:color w:val="000000" w:themeColor="text1"/>
          <w:sz w:val="24"/>
        </w:rPr>
        <w:t xml:space="preserve"> employment</w:t>
      </w:r>
      <w:r w:rsidR="000B06BD" w:rsidRPr="00FF45B2">
        <w:rPr>
          <w:rFonts w:ascii="Garamond" w:hAnsi="Garamond"/>
          <w:b w:val="0"/>
          <w:color w:val="000000" w:themeColor="text1"/>
          <w:sz w:val="24"/>
        </w:rPr>
        <w:t>.</w:t>
      </w:r>
      <w:r w:rsidRPr="00FF45B2">
        <w:rPr>
          <w:rFonts w:ascii="Garamond" w:hAnsi="Garamond"/>
          <w:b w:val="0"/>
          <w:color w:val="000000" w:themeColor="text1"/>
          <w:sz w:val="24"/>
        </w:rPr>
        <w:t xml:space="preserve"> </w:t>
      </w:r>
      <w:r w:rsidR="00D6348A" w:rsidRPr="00FF45B2">
        <w:rPr>
          <w:rFonts w:ascii="Garamond" w:hAnsi="Garamond"/>
          <w:b w:val="0"/>
          <w:color w:val="000000" w:themeColor="text1"/>
          <w:sz w:val="24"/>
        </w:rPr>
        <w:t>I</w:t>
      </w:r>
      <w:r w:rsidRPr="00FF45B2">
        <w:rPr>
          <w:rFonts w:ascii="Garamond" w:hAnsi="Garamond"/>
          <w:b w:val="0"/>
          <w:color w:val="000000" w:themeColor="text1"/>
          <w:sz w:val="24"/>
        </w:rPr>
        <w:t xml:space="preserve">t is </w:t>
      </w:r>
      <w:r w:rsidR="00AB6080" w:rsidRPr="00FF45B2">
        <w:rPr>
          <w:rFonts w:ascii="Garamond" w:hAnsi="Garamond"/>
          <w:b w:val="0"/>
          <w:color w:val="000000" w:themeColor="text1"/>
          <w:sz w:val="24"/>
        </w:rPr>
        <w:t>typically</w:t>
      </w:r>
      <w:r w:rsidR="00D6348A" w:rsidRPr="00FF45B2">
        <w:rPr>
          <w:rFonts w:ascii="Garamond" w:hAnsi="Garamond"/>
          <w:b w:val="0"/>
          <w:color w:val="000000" w:themeColor="text1"/>
          <w:sz w:val="24"/>
        </w:rPr>
        <w:t xml:space="preserve"> </w:t>
      </w:r>
      <w:r w:rsidRPr="00FF45B2">
        <w:rPr>
          <w:rFonts w:ascii="Garamond" w:hAnsi="Garamond"/>
          <w:b w:val="0"/>
          <w:color w:val="000000" w:themeColor="text1"/>
          <w:sz w:val="24"/>
        </w:rPr>
        <w:t>divided into three</w:t>
      </w:r>
      <w:r w:rsidR="00D6348A" w:rsidRPr="00FF45B2">
        <w:rPr>
          <w:rFonts w:ascii="Garamond" w:hAnsi="Garamond"/>
          <w:b w:val="0"/>
          <w:color w:val="000000" w:themeColor="text1"/>
          <w:sz w:val="24"/>
        </w:rPr>
        <w:t xml:space="preserve"> </w:t>
      </w:r>
      <w:r w:rsidR="00A52491">
        <w:rPr>
          <w:rFonts w:ascii="Garamond" w:hAnsi="Garamond"/>
          <w:b w:val="0"/>
          <w:color w:val="000000" w:themeColor="text1"/>
          <w:sz w:val="24"/>
        </w:rPr>
        <w:t>or</w:t>
      </w:r>
      <w:r w:rsidR="00D6348A" w:rsidRPr="00FF45B2">
        <w:rPr>
          <w:rFonts w:ascii="Garamond" w:hAnsi="Garamond"/>
          <w:b w:val="0"/>
          <w:color w:val="000000" w:themeColor="text1"/>
          <w:sz w:val="24"/>
        </w:rPr>
        <w:t xml:space="preserve"> four</w:t>
      </w:r>
      <w:r w:rsidRPr="00FF45B2">
        <w:rPr>
          <w:rFonts w:ascii="Garamond" w:hAnsi="Garamond"/>
          <w:b w:val="0"/>
          <w:color w:val="000000" w:themeColor="text1"/>
          <w:sz w:val="24"/>
        </w:rPr>
        <w:t xml:space="preserve"> distinct stages</w:t>
      </w:r>
      <w:r w:rsidR="00D6348A" w:rsidRPr="00FF45B2">
        <w:rPr>
          <w:rFonts w:ascii="Garamond" w:hAnsi="Garamond"/>
          <w:b w:val="0"/>
          <w:color w:val="000000" w:themeColor="text1"/>
          <w:sz w:val="24"/>
        </w:rPr>
        <w:t xml:space="preserve"> based on the approximate age of the student</w:t>
      </w:r>
      <w:r w:rsidR="009B7486">
        <w:rPr>
          <w:rFonts w:ascii="Garamond" w:hAnsi="Garamond"/>
          <w:b w:val="0"/>
          <w:color w:val="000000" w:themeColor="text1"/>
          <w:sz w:val="24"/>
        </w:rPr>
        <w:t xml:space="preserve"> and often</w:t>
      </w:r>
      <w:r w:rsidR="006524AD" w:rsidRPr="00FF45B2">
        <w:rPr>
          <w:rFonts w:ascii="Garamond" w:hAnsi="Garamond"/>
          <w:b w:val="0"/>
          <w:color w:val="000000" w:themeColor="text1"/>
          <w:sz w:val="24"/>
        </w:rPr>
        <w:t xml:space="preserve"> </w:t>
      </w:r>
      <w:r w:rsidR="009B7486">
        <w:rPr>
          <w:rFonts w:ascii="Garamond" w:hAnsi="Garamond"/>
          <w:b w:val="0"/>
          <w:color w:val="000000" w:themeColor="text1"/>
          <w:sz w:val="24"/>
        </w:rPr>
        <w:t>begins</w:t>
      </w:r>
      <w:r w:rsidR="00D6348A" w:rsidRPr="00FF45B2">
        <w:rPr>
          <w:rFonts w:ascii="Garamond" w:hAnsi="Garamond"/>
          <w:b w:val="0"/>
          <w:color w:val="000000" w:themeColor="text1"/>
          <w:sz w:val="24"/>
        </w:rPr>
        <w:t xml:space="preserve"> with</w:t>
      </w:r>
      <w:r w:rsidRPr="00FF45B2">
        <w:rPr>
          <w:rFonts w:ascii="Garamond" w:hAnsi="Garamond"/>
          <w:b w:val="0"/>
          <w:color w:val="000000" w:themeColor="text1"/>
          <w:sz w:val="24"/>
        </w:rPr>
        <w:t xml:space="preserve"> </w:t>
      </w:r>
      <w:r w:rsidR="00D6348A" w:rsidRPr="00FF45B2">
        <w:rPr>
          <w:rFonts w:ascii="Garamond" w:hAnsi="Garamond"/>
          <w:b w:val="0"/>
          <w:color w:val="000000" w:themeColor="text1"/>
          <w:sz w:val="24"/>
        </w:rPr>
        <w:t>preschool</w:t>
      </w:r>
      <w:r w:rsidR="006524AD" w:rsidRPr="00FF45B2">
        <w:rPr>
          <w:rFonts w:ascii="Garamond" w:hAnsi="Garamond"/>
          <w:b w:val="0"/>
          <w:color w:val="000000" w:themeColor="text1"/>
          <w:sz w:val="24"/>
        </w:rPr>
        <w:t>.</w:t>
      </w:r>
      <w:r w:rsidR="00D6348A" w:rsidRPr="00FF45B2">
        <w:rPr>
          <w:rFonts w:ascii="Garamond" w:hAnsi="Garamond"/>
          <w:b w:val="0"/>
          <w:color w:val="000000" w:themeColor="text1"/>
          <w:sz w:val="24"/>
        </w:rPr>
        <w:t xml:space="preserve"> </w:t>
      </w:r>
      <w:r w:rsidR="005701D0" w:rsidRPr="00FF45B2">
        <w:rPr>
          <w:rFonts w:ascii="Garamond" w:hAnsi="Garamond"/>
          <w:b w:val="0"/>
          <w:color w:val="000000" w:themeColor="text1"/>
          <w:sz w:val="24"/>
        </w:rPr>
        <w:t>This is followed by primary school, secondary school, and postsecondary education,</w:t>
      </w:r>
      <w:r w:rsidR="005701D0">
        <w:rPr>
          <w:rFonts w:ascii="Garamond" w:hAnsi="Garamond"/>
          <w:b w:val="0"/>
          <w:color w:val="000000" w:themeColor="text1"/>
          <w:sz w:val="24"/>
        </w:rPr>
        <w:t xml:space="preserve"> the last of which is increasingly recognized as important to securing higher paying jobs</w:t>
      </w:r>
      <w:r w:rsidR="005701D0" w:rsidRPr="00FF45B2">
        <w:rPr>
          <w:rFonts w:ascii="Garamond" w:hAnsi="Garamond"/>
          <w:b w:val="0"/>
          <w:color w:val="000000" w:themeColor="text1"/>
          <w:sz w:val="24"/>
        </w:rPr>
        <w:t>.</w:t>
      </w:r>
      <w:r w:rsidRPr="00FF45B2">
        <w:rPr>
          <w:rFonts w:ascii="Garamond" w:hAnsi="Garamond"/>
          <w:b w:val="0"/>
          <w:color w:val="000000" w:themeColor="text1"/>
          <w:sz w:val="24"/>
        </w:rPr>
        <w:t xml:space="preserve"> Accordingly, the services component of education</w:t>
      </w:r>
      <w:r w:rsidR="006B5E3F" w:rsidRPr="00FF45B2">
        <w:rPr>
          <w:rFonts w:ascii="Garamond" w:hAnsi="Garamond"/>
          <w:b w:val="0"/>
          <w:color w:val="000000" w:themeColor="text1"/>
          <w:sz w:val="24"/>
        </w:rPr>
        <w:t>,</w:t>
      </w:r>
      <w:r w:rsidRPr="00FF45B2">
        <w:rPr>
          <w:rFonts w:ascii="Garamond" w:hAnsi="Garamond"/>
          <w:b w:val="0"/>
          <w:color w:val="000000" w:themeColor="text1"/>
          <w:sz w:val="24"/>
        </w:rPr>
        <w:t xml:space="preserve"> i.e. the provision of instruction and other support services</w:t>
      </w:r>
      <w:r w:rsidR="006B5E3F" w:rsidRPr="00FF45B2">
        <w:rPr>
          <w:rFonts w:ascii="Garamond" w:hAnsi="Garamond"/>
          <w:b w:val="0"/>
          <w:color w:val="000000" w:themeColor="text1"/>
          <w:sz w:val="24"/>
        </w:rPr>
        <w:t>,</w:t>
      </w:r>
      <w:r w:rsidRPr="00FF45B2">
        <w:rPr>
          <w:rFonts w:ascii="Garamond" w:hAnsi="Garamond"/>
          <w:b w:val="0"/>
          <w:color w:val="000000" w:themeColor="text1"/>
          <w:sz w:val="24"/>
        </w:rPr>
        <w:t xml:space="preserve"> </w:t>
      </w:r>
      <w:r w:rsidRPr="00A52491">
        <w:rPr>
          <w:rFonts w:ascii="Garamond" w:hAnsi="Garamond"/>
          <w:b w:val="0"/>
          <w:color w:val="000000" w:themeColor="text1"/>
          <w:sz w:val="24"/>
        </w:rPr>
        <w:t xml:space="preserve">follows </w:t>
      </w:r>
      <w:r w:rsidR="00D6348A" w:rsidRPr="00A52491">
        <w:rPr>
          <w:rFonts w:ascii="Garamond" w:hAnsi="Garamond"/>
          <w:b w:val="0"/>
          <w:color w:val="000000" w:themeColor="text1"/>
          <w:sz w:val="24"/>
        </w:rPr>
        <w:t>these same divisions</w:t>
      </w:r>
      <w:r w:rsidR="00C57847" w:rsidRPr="00A52491">
        <w:rPr>
          <w:rFonts w:ascii="Garamond" w:hAnsi="Garamond"/>
          <w:b w:val="0"/>
          <w:color w:val="000000" w:themeColor="text1"/>
          <w:sz w:val="24"/>
        </w:rPr>
        <w:t xml:space="preserve"> </w:t>
      </w:r>
      <w:r w:rsidR="00A52491">
        <w:rPr>
          <w:rFonts w:ascii="Garamond" w:hAnsi="Garamond"/>
          <w:b w:val="0"/>
          <w:color w:val="000000" w:themeColor="text1"/>
          <w:sz w:val="24"/>
        </w:rPr>
        <w:t>as part of</w:t>
      </w:r>
      <w:r w:rsidR="00C57847" w:rsidRPr="00A52491">
        <w:rPr>
          <w:rFonts w:ascii="Garamond" w:hAnsi="Garamond"/>
          <w:b w:val="0"/>
          <w:color w:val="000000" w:themeColor="text1"/>
          <w:sz w:val="24"/>
        </w:rPr>
        <w:t xml:space="preserve"> either public or private</w:t>
      </w:r>
      <w:r w:rsidR="009E21D3" w:rsidRPr="00A52491">
        <w:rPr>
          <w:rFonts w:ascii="Garamond" w:hAnsi="Garamond"/>
          <w:b w:val="0"/>
          <w:color w:val="000000" w:themeColor="text1"/>
          <w:sz w:val="24"/>
        </w:rPr>
        <w:t xml:space="preserve"> institutions</w:t>
      </w:r>
      <w:r w:rsidRPr="00A52491">
        <w:rPr>
          <w:rFonts w:ascii="Garamond" w:hAnsi="Garamond"/>
          <w:b w:val="0"/>
          <w:color w:val="000000" w:themeColor="text1"/>
          <w:sz w:val="24"/>
        </w:rPr>
        <w:t>.</w:t>
      </w:r>
      <w:r w:rsidR="00D6348A" w:rsidRPr="00A52491">
        <w:rPr>
          <w:rFonts w:ascii="Garamond" w:hAnsi="Garamond"/>
          <w:b w:val="0"/>
          <w:color w:val="000000" w:themeColor="text1"/>
          <w:sz w:val="24"/>
        </w:rPr>
        <w:t xml:space="preserve"> </w:t>
      </w:r>
    </w:p>
    <w:p w:rsidR="00483CDB" w:rsidRDefault="00483CDB" w:rsidP="00B3322A">
      <w:pPr>
        <w:pStyle w:val="Heading7"/>
        <w:spacing w:after="0"/>
        <w:rPr>
          <w:rFonts w:ascii="Garamond" w:hAnsi="Garamond"/>
          <w:b w:val="0"/>
          <w:color w:val="000000" w:themeColor="text1"/>
          <w:sz w:val="24"/>
        </w:rPr>
      </w:pPr>
    </w:p>
    <w:p w:rsidR="000B06BD" w:rsidRPr="00A52491" w:rsidRDefault="00D6348A" w:rsidP="00B3322A">
      <w:pPr>
        <w:pStyle w:val="Heading7"/>
        <w:spacing w:after="0"/>
        <w:rPr>
          <w:rFonts w:ascii="Garamond" w:hAnsi="Garamond"/>
          <w:b w:val="0"/>
          <w:color w:val="000000" w:themeColor="text1"/>
          <w:sz w:val="24"/>
        </w:rPr>
      </w:pPr>
      <w:r w:rsidRPr="00A52491">
        <w:rPr>
          <w:rFonts w:ascii="Garamond" w:hAnsi="Garamond"/>
          <w:b w:val="0"/>
          <w:color w:val="000000" w:themeColor="text1"/>
          <w:sz w:val="24"/>
        </w:rPr>
        <w:t>This</w:t>
      </w:r>
      <w:r w:rsidRPr="00A52491">
        <w:rPr>
          <w:rFonts w:ascii="Garamond" w:hAnsi="Garamond"/>
          <w:color w:val="000000" w:themeColor="text1"/>
          <w:sz w:val="24"/>
        </w:rPr>
        <w:t xml:space="preserve"> </w:t>
      </w:r>
      <w:r w:rsidRPr="00A52491">
        <w:rPr>
          <w:rFonts w:ascii="Garamond" w:hAnsi="Garamond"/>
          <w:b w:val="0"/>
          <w:color w:val="000000" w:themeColor="text1"/>
          <w:sz w:val="24"/>
        </w:rPr>
        <w:t xml:space="preserve">report </w:t>
      </w:r>
      <w:r w:rsidR="00A52491">
        <w:rPr>
          <w:rFonts w:ascii="Garamond" w:hAnsi="Garamond"/>
          <w:b w:val="0"/>
          <w:color w:val="000000" w:themeColor="text1"/>
          <w:sz w:val="24"/>
        </w:rPr>
        <w:t>examines</w:t>
      </w:r>
      <w:r w:rsidRPr="00A52491">
        <w:rPr>
          <w:rFonts w:ascii="Garamond" w:hAnsi="Garamond"/>
          <w:b w:val="0"/>
          <w:color w:val="000000" w:themeColor="text1"/>
          <w:sz w:val="24"/>
        </w:rPr>
        <w:t xml:space="preserve"> the education</w:t>
      </w:r>
      <w:r w:rsidR="00A52491">
        <w:rPr>
          <w:rFonts w:ascii="Garamond" w:hAnsi="Garamond"/>
          <w:b w:val="0"/>
          <w:color w:val="000000" w:themeColor="text1"/>
          <w:sz w:val="24"/>
        </w:rPr>
        <w:t>al</w:t>
      </w:r>
      <w:r w:rsidRPr="00A52491">
        <w:rPr>
          <w:rFonts w:ascii="Garamond" w:hAnsi="Garamond"/>
          <w:b w:val="0"/>
          <w:color w:val="000000" w:themeColor="text1"/>
          <w:sz w:val="24"/>
        </w:rPr>
        <w:t xml:space="preserve"> services industry</w:t>
      </w:r>
      <w:r w:rsidR="006B5E3F" w:rsidRPr="00A52491">
        <w:rPr>
          <w:rFonts w:ascii="Garamond" w:hAnsi="Garamond"/>
          <w:b w:val="0"/>
          <w:color w:val="000000" w:themeColor="text1"/>
          <w:sz w:val="24"/>
        </w:rPr>
        <w:t xml:space="preserve"> in the Gulf Coast region </w:t>
      </w:r>
      <w:r w:rsidR="00A52491" w:rsidRPr="00A52491">
        <w:rPr>
          <w:rFonts w:ascii="Garamond" w:hAnsi="Garamond"/>
          <w:b w:val="0"/>
          <w:color w:val="000000" w:themeColor="text1"/>
          <w:sz w:val="24"/>
        </w:rPr>
        <w:t>with</w:t>
      </w:r>
      <w:r w:rsidR="00A52491">
        <w:rPr>
          <w:rFonts w:ascii="Garamond" w:hAnsi="Garamond"/>
          <w:b w:val="0"/>
          <w:color w:val="000000" w:themeColor="text1"/>
          <w:sz w:val="24"/>
        </w:rPr>
        <w:t xml:space="preserve"> an</w:t>
      </w:r>
      <w:r w:rsidR="00A52491" w:rsidRPr="00A52491">
        <w:rPr>
          <w:rFonts w:ascii="Garamond" w:hAnsi="Garamond"/>
          <w:b w:val="0"/>
          <w:color w:val="000000" w:themeColor="text1"/>
          <w:sz w:val="24"/>
        </w:rPr>
        <w:t xml:space="preserve"> emphasis on trends among primary and secondary public school teachers including</w:t>
      </w:r>
      <w:r w:rsidR="00A52491">
        <w:rPr>
          <w:rFonts w:ascii="Garamond" w:hAnsi="Garamond"/>
          <w:b w:val="0"/>
          <w:color w:val="000000" w:themeColor="text1"/>
          <w:sz w:val="24"/>
        </w:rPr>
        <w:t xml:space="preserve"> student-teacher ratios,</w:t>
      </w:r>
      <w:r w:rsidR="00A52491" w:rsidRPr="00A52491">
        <w:rPr>
          <w:rFonts w:ascii="Garamond" w:hAnsi="Garamond"/>
          <w:b w:val="0"/>
          <w:color w:val="000000" w:themeColor="text1"/>
          <w:sz w:val="24"/>
        </w:rPr>
        <w:t xml:space="preserve"> shortages, wages,</w:t>
      </w:r>
      <w:r w:rsidR="00A52491">
        <w:rPr>
          <w:rFonts w:ascii="Garamond" w:hAnsi="Garamond"/>
          <w:b w:val="0"/>
          <w:color w:val="000000" w:themeColor="text1"/>
          <w:sz w:val="24"/>
        </w:rPr>
        <w:t xml:space="preserve"> turnover, and years of experience</w:t>
      </w:r>
      <w:r w:rsidR="0081095A">
        <w:rPr>
          <w:rFonts w:ascii="Garamond" w:hAnsi="Garamond"/>
          <w:b w:val="0"/>
          <w:color w:val="000000" w:themeColor="text1"/>
          <w:sz w:val="24"/>
        </w:rPr>
        <w:t xml:space="preserve"> </w:t>
      </w:r>
      <w:r w:rsidR="009B7486">
        <w:rPr>
          <w:rFonts w:ascii="Garamond" w:hAnsi="Garamond"/>
          <w:b w:val="0"/>
          <w:color w:val="000000" w:themeColor="text1"/>
          <w:sz w:val="24"/>
        </w:rPr>
        <w:t>over the past two decades</w:t>
      </w:r>
      <w:r w:rsidR="00184DE7">
        <w:rPr>
          <w:rFonts w:ascii="Garamond" w:hAnsi="Garamond"/>
          <w:b w:val="0"/>
          <w:color w:val="000000" w:themeColor="text1"/>
          <w:sz w:val="24"/>
        </w:rPr>
        <w:t xml:space="preserve"> in addition to standar</w:t>
      </w:r>
      <w:r w:rsidR="00552AC2">
        <w:rPr>
          <w:rFonts w:ascii="Garamond" w:hAnsi="Garamond"/>
          <w:b w:val="0"/>
          <w:color w:val="000000" w:themeColor="text1"/>
          <w:sz w:val="24"/>
        </w:rPr>
        <w:t>d labor market information regarding the outlook for the</w:t>
      </w:r>
      <w:r w:rsidR="00184DE7">
        <w:rPr>
          <w:rFonts w:ascii="Garamond" w:hAnsi="Garamond"/>
          <w:b w:val="0"/>
          <w:color w:val="000000" w:themeColor="text1"/>
          <w:sz w:val="24"/>
        </w:rPr>
        <w:t xml:space="preserve"> industry and its occupations.</w:t>
      </w:r>
    </w:p>
    <w:p w:rsidR="00A04EC2" w:rsidRPr="00FF45B2" w:rsidRDefault="00A04EC2" w:rsidP="00A04EC2">
      <w:pPr>
        <w:pStyle w:val="Heading7"/>
        <w:spacing w:after="0"/>
        <w:rPr>
          <w:rFonts w:ascii="Garamond" w:hAnsi="Garamond"/>
          <w:b w:val="0"/>
          <w:color w:val="000000" w:themeColor="text1"/>
          <w:sz w:val="24"/>
        </w:rPr>
      </w:pPr>
    </w:p>
    <w:p w:rsidR="009E21D3" w:rsidRPr="00FF45B2" w:rsidRDefault="009E21D3" w:rsidP="009E21D3">
      <w:pPr>
        <w:rPr>
          <w:rFonts w:ascii="Garamond" w:hAnsi="Garamond"/>
        </w:rPr>
      </w:pPr>
      <w:r w:rsidRPr="00FF45B2">
        <w:rPr>
          <w:rFonts w:ascii="Garamond" w:hAnsi="Garamond"/>
        </w:rPr>
        <w:t xml:space="preserve">Below are key figures </w:t>
      </w:r>
      <w:r w:rsidR="00733F03" w:rsidRPr="00FF45B2">
        <w:rPr>
          <w:rFonts w:ascii="Garamond" w:hAnsi="Garamond"/>
        </w:rPr>
        <w:t>on</w:t>
      </w:r>
      <w:r w:rsidRPr="00FF45B2">
        <w:rPr>
          <w:rFonts w:ascii="Garamond" w:hAnsi="Garamond"/>
        </w:rPr>
        <w:t xml:space="preserve"> education</w:t>
      </w:r>
      <w:r w:rsidR="00FF45B2" w:rsidRPr="00FF45B2">
        <w:rPr>
          <w:rFonts w:ascii="Garamond" w:hAnsi="Garamond"/>
        </w:rPr>
        <w:t xml:space="preserve"> in the Gulf Coast</w:t>
      </w:r>
      <w:r w:rsidR="000C0981" w:rsidRPr="00FF45B2">
        <w:rPr>
          <w:rFonts w:ascii="Garamond" w:hAnsi="Garamond"/>
        </w:rPr>
        <w:t xml:space="preserve"> </w:t>
      </w:r>
      <w:r w:rsidR="0081095A">
        <w:rPr>
          <w:rFonts w:ascii="Garamond" w:hAnsi="Garamond"/>
        </w:rPr>
        <w:t>from the supply-side (s</w:t>
      </w:r>
      <w:r w:rsidR="00FF45B2" w:rsidRPr="00FF45B2">
        <w:rPr>
          <w:rFonts w:ascii="Garamond" w:hAnsi="Garamond"/>
        </w:rPr>
        <w:t>chools and instructors) and th</w:t>
      </w:r>
      <w:r w:rsidR="0081095A">
        <w:rPr>
          <w:rFonts w:ascii="Garamond" w:hAnsi="Garamond"/>
        </w:rPr>
        <w:t>e demand-side (</w:t>
      </w:r>
      <w:r w:rsidR="00FF45B2" w:rsidRPr="00FF45B2">
        <w:rPr>
          <w:rFonts w:ascii="Garamond" w:hAnsi="Garamond"/>
        </w:rPr>
        <w:t>students)</w:t>
      </w:r>
      <w:r w:rsidR="00CF7438">
        <w:rPr>
          <w:rFonts w:ascii="Garamond" w:hAnsi="Garamond"/>
        </w:rPr>
        <w:t>. See Appendix A. for institution-specific enrollment levels as of 2013.</w:t>
      </w:r>
    </w:p>
    <w:p w:rsidR="009E21D3" w:rsidRPr="00FF45B2" w:rsidRDefault="009E21D3" w:rsidP="009E21D3">
      <w:pPr>
        <w:rPr>
          <w:rFonts w:ascii="Garamond" w:hAnsi="Garamond"/>
        </w:rPr>
      </w:pPr>
    </w:p>
    <w:p w:rsidR="00733F03" w:rsidRPr="00FF45B2" w:rsidRDefault="00733F03" w:rsidP="00733F03">
      <w:pPr>
        <w:jc w:val="center"/>
        <w:rPr>
          <w:rFonts w:ascii="Garamond" w:hAnsi="Garamond"/>
        </w:rPr>
      </w:pPr>
      <w:r w:rsidRPr="00FF45B2">
        <w:rPr>
          <w:rFonts w:ascii="Garamond" w:hAnsi="Garamond"/>
          <w:b/>
        </w:rPr>
        <w:t>Primary and Secondary</w:t>
      </w:r>
      <w:r w:rsidR="00FC48D0">
        <w:rPr>
          <w:rFonts w:ascii="Garamond" w:hAnsi="Garamond"/>
          <w:b/>
        </w:rPr>
        <w:t xml:space="preserve"> Public</w:t>
      </w:r>
      <w:r w:rsidRPr="00FF45B2">
        <w:rPr>
          <w:rFonts w:ascii="Garamond" w:hAnsi="Garamond"/>
          <w:b/>
        </w:rPr>
        <w:t xml:space="preserve"> Schools</w:t>
      </w:r>
      <w:r w:rsidR="00D325B5">
        <w:rPr>
          <w:rStyle w:val="EndnoteReference"/>
          <w:rFonts w:ascii="Garamond" w:hAnsi="Garamond"/>
          <w:b/>
        </w:rPr>
        <w:endnoteReference w:id="1"/>
      </w:r>
      <w:r w:rsidR="00FF45B2">
        <w:rPr>
          <w:rFonts w:ascii="Garamond" w:hAnsi="Garamond"/>
        </w:rPr>
        <w:t xml:space="preserve"> </w:t>
      </w:r>
    </w:p>
    <w:p w:rsidR="00733F03" w:rsidRDefault="00184DE7" w:rsidP="00733F03">
      <w:pPr>
        <w:jc w:val="center"/>
        <w:rPr>
          <w:rFonts w:ascii="Garamond" w:hAnsi="Garamond"/>
        </w:rPr>
      </w:pPr>
      <w:r>
        <w:rPr>
          <w:rFonts w:ascii="Garamond" w:hAnsi="Garamond"/>
        </w:rPr>
        <w:t xml:space="preserve">(as of </w:t>
      </w:r>
      <w:r w:rsidR="00C737B0">
        <w:rPr>
          <w:rFonts w:ascii="Garamond" w:hAnsi="Garamond"/>
        </w:rPr>
        <w:t>fall 2013</w:t>
      </w:r>
      <w:r>
        <w:rPr>
          <w:rFonts w:ascii="Garamond" w:hAnsi="Garamond"/>
        </w:rPr>
        <w:t>)</w:t>
      </w:r>
    </w:p>
    <w:p w:rsidR="0081095A" w:rsidRPr="00FF45B2" w:rsidRDefault="0081095A" w:rsidP="00733F03">
      <w:pPr>
        <w:jc w:val="center"/>
        <w:rPr>
          <w:rFonts w:ascii="Garamond" w:hAnsi="Garamond"/>
        </w:rPr>
      </w:pPr>
    </w:p>
    <w:p w:rsidR="00733F03" w:rsidRPr="000A3005" w:rsidRDefault="00280B66" w:rsidP="00733F03">
      <w:pPr>
        <w:pStyle w:val="Heading7"/>
        <w:numPr>
          <w:ilvl w:val="0"/>
          <w:numId w:val="28"/>
        </w:numPr>
        <w:spacing w:after="0"/>
        <w:rPr>
          <w:rFonts w:ascii="Garamond" w:hAnsi="Garamond"/>
          <w:b w:val="0"/>
          <w:color w:val="000000" w:themeColor="text1"/>
          <w:sz w:val="24"/>
          <w:szCs w:val="24"/>
        </w:rPr>
      </w:pPr>
      <w:r w:rsidRPr="000A3005">
        <w:rPr>
          <w:rFonts w:ascii="Garamond" w:hAnsi="Garamond"/>
          <w:b w:val="0"/>
          <w:color w:val="000000" w:themeColor="text1"/>
          <w:sz w:val="24"/>
          <w:szCs w:val="24"/>
        </w:rPr>
        <w:t>1,</w:t>
      </w:r>
      <w:r w:rsidR="00D17752" w:rsidRPr="000A3005">
        <w:rPr>
          <w:rFonts w:ascii="Garamond" w:hAnsi="Garamond"/>
          <w:b w:val="0"/>
          <w:color w:val="000000" w:themeColor="text1"/>
          <w:sz w:val="24"/>
          <w:szCs w:val="24"/>
        </w:rPr>
        <w:t>223,785</w:t>
      </w:r>
      <w:r w:rsidRPr="000A3005">
        <w:rPr>
          <w:rFonts w:ascii="Garamond" w:hAnsi="Garamond"/>
          <w:b w:val="0"/>
          <w:color w:val="000000" w:themeColor="text1"/>
          <w:sz w:val="24"/>
          <w:szCs w:val="24"/>
        </w:rPr>
        <w:t xml:space="preserve"> </w:t>
      </w:r>
      <w:r w:rsidR="00677CA0" w:rsidRPr="000A3005">
        <w:rPr>
          <w:rFonts w:ascii="Garamond" w:hAnsi="Garamond"/>
          <w:b w:val="0"/>
          <w:color w:val="000000" w:themeColor="text1"/>
          <w:sz w:val="24"/>
          <w:szCs w:val="24"/>
        </w:rPr>
        <w:t>students</w:t>
      </w:r>
    </w:p>
    <w:p w:rsidR="00733F03" w:rsidRPr="000A3005" w:rsidRDefault="00733F03" w:rsidP="00733F03">
      <w:pPr>
        <w:pStyle w:val="Heading7"/>
        <w:numPr>
          <w:ilvl w:val="0"/>
          <w:numId w:val="28"/>
        </w:numPr>
        <w:spacing w:after="0"/>
        <w:rPr>
          <w:rFonts w:ascii="Garamond" w:hAnsi="Garamond"/>
          <w:b w:val="0"/>
          <w:color w:val="000000" w:themeColor="text1"/>
          <w:sz w:val="24"/>
          <w:szCs w:val="24"/>
        </w:rPr>
      </w:pPr>
      <w:r w:rsidRPr="000A3005">
        <w:rPr>
          <w:rFonts w:ascii="Garamond" w:hAnsi="Garamond"/>
          <w:b w:val="0"/>
          <w:sz w:val="24"/>
          <w:szCs w:val="24"/>
        </w:rPr>
        <w:t>1,4</w:t>
      </w:r>
      <w:r w:rsidR="00D17752" w:rsidRPr="000A3005">
        <w:rPr>
          <w:rFonts w:ascii="Garamond" w:hAnsi="Garamond"/>
          <w:b w:val="0"/>
          <w:sz w:val="24"/>
          <w:szCs w:val="24"/>
        </w:rPr>
        <w:t>87</w:t>
      </w:r>
      <w:r w:rsidRPr="000A3005">
        <w:rPr>
          <w:rFonts w:ascii="Garamond" w:hAnsi="Garamond"/>
          <w:b w:val="0"/>
          <w:sz w:val="24"/>
          <w:szCs w:val="24"/>
        </w:rPr>
        <w:t xml:space="preserve"> schools</w:t>
      </w:r>
      <w:r w:rsidR="009B7486" w:rsidRPr="000A3005">
        <w:rPr>
          <w:rFonts w:ascii="Garamond" w:hAnsi="Garamond"/>
          <w:b w:val="0"/>
          <w:sz w:val="24"/>
          <w:szCs w:val="24"/>
        </w:rPr>
        <w:t xml:space="preserve"> across </w:t>
      </w:r>
      <w:r w:rsidR="009B7486" w:rsidRPr="000A3005">
        <w:rPr>
          <w:rFonts w:ascii="Garamond" w:hAnsi="Garamond"/>
          <w:b w:val="0"/>
          <w:color w:val="000000" w:themeColor="text1"/>
          <w:sz w:val="24"/>
          <w:szCs w:val="24"/>
        </w:rPr>
        <w:t xml:space="preserve">77 </w:t>
      </w:r>
      <w:r w:rsidR="00D41071" w:rsidRPr="000A3005">
        <w:rPr>
          <w:rFonts w:ascii="Garamond" w:hAnsi="Garamond"/>
          <w:b w:val="0"/>
          <w:color w:val="000000" w:themeColor="text1"/>
          <w:sz w:val="24"/>
          <w:szCs w:val="24"/>
        </w:rPr>
        <w:t>I</w:t>
      </w:r>
      <w:r w:rsidR="009B7486" w:rsidRPr="000A3005">
        <w:rPr>
          <w:rFonts w:ascii="Garamond" w:hAnsi="Garamond"/>
          <w:b w:val="0"/>
          <w:color w:val="000000" w:themeColor="text1"/>
          <w:sz w:val="24"/>
          <w:szCs w:val="24"/>
        </w:rPr>
        <w:t xml:space="preserve">ndependent </w:t>
      </w:r>
      <w:r w:rsidR="00D41071" w:rsidRPr="000A3005">
        <w:rPr>
          <w:rFonts w:ascii="Garamond" w:hAnsi="Garamond"/>
          <w:b w:val="0"/>
          <w:color w:val="000000" w:themeColor="text1"/>
          <w:sz w:val="24"/>
          <w:szCs w:val="24"/>
        </w:rPr>
        <w:t>School D</w:t>
      </w:r>
      <w:r w:rsidR="009B7486" w:rsidRPr="000A3005">
        <w:rPr>
          <w:rFonts w:ascii="Garamond" w:hAnsi="Garamond"/>
          <w:b w:val="0"/>
          <w:color w:val="000000" w:themeColor="text1"/>
          <w:sz w:val="24"/>
          <w:szCs w:val="24"/>
        </w:rPr>
        <w:t>istricts (ISDs)</w:t>
      </w:r>
    </w:p>
    <w:p w:rsidR="00A04EC2" w:rsidRPr="000A3005" w:rsidRDefault="00D17752" w:rsidP="00A04EC2">
      <w:pPr>
        <w:pStyle w:val="Heading7"/>
        <w:numPr>
          <w:ilvl w:val="0"/>
          <w:numId w:val="28"/>
        </w:numPr>
        <w:spacing w:after="0"/>
        <w:rPr>
          <w:rFonts w:ascii="Garamond" w:hAnsi="Garamond"/>
          <w:b w:val="0"/>
          <w:color w:val="000000" w:themeColor="text1"/>
          <w:sz w:val="24"/>
          <w:szCs w:val="24"/>
        </w:rPr>
      </w:pPr>
      <w:r w:rsidRPr="000A3005">
        <w:rPr>
          <w:rFonts w:ascii="Garamond" w:hAnsi="Garamond"/>
          <w:b w:val="0"/>
          <w:color w:val="000000" w:themeColor="text1"/>
          <w:sz w:val="24"/>
          <w:szCs w:val="24"/>
        </w:rPr>
        <w:t>74,703</w:t>
      </w:r>
      <w:r w:rsidR="00FF45B2" w:rsidRPr="000A3005">
        <w:rPr>
          <w:rFonts w:ascii="Garamond" w:hAnsi="Garamond"/>
          <w:b w:val="0"/>
          <w:color w:val="000000" w:themeColor="text1"/>
          <w:sz w:val="24"/>
          <w:szCs w:val="24"/>
        </w:rPr>
        <w:t xml:space="preserve"> F</w:t>
      </w:r>
      <w:r w:rsidR="00D41071" w:rsidRPr="000A3005">
        <w:rPr>
          <w:rFonts w:ascii="Garamond" w:hAnsi="Garamond"/>
          <w:b w:val="0"/>
          <w:color w:val="000000" w:themeColor="text1"/>
          <w:sz w:val="24"/>
          <w:szCs w:val="24"/>
        </w:rPr>
        <w:t xml:space="preserve">ulltime Equivalent (FTE) </w:t>
      </w:r>
      <w:r w:rsidR="00677CA0" w:rsidRPr="000A3005">
        <w:rPr>
          <w:rFonts w:ascii="Garamond" w:hAnsi="Garamond"/>
          <w:b w:val="0"/>
          <w:color w:val="000000" w:themeColor="text1"/>
          <w:sz w:val="24"/>
          <w:szCs w:val="24"/>
        </w:rPr>
        <w:t>teachers</w:t>
      </w:r>
    </w:p>
    <w:p w:rsidR="00280B66" w:rsidRPr="000A3005" w:rsidRDefault="005C2318" w:rsidP="006147E2">
      <w:pPr>
        <w:pStyle w:val="Heading7"/>
        <w:numPr>
          <w:ilvl w:val="0"/>
          <w:numId w:val="28"/>
        </w:numPr>
        <w:spacing w:after="0"/>
        <w:rPr>
          <w:rFonts w:ascii="Garamond" w:hAnsi="Garamond"/>
          <w:b w:val="0"/>
          <w:color w:val="000000" w:themeColor="text1"/>
          <w:sz w:val="24"/>
          <w:szCs w:val="24"/>
        </w:rPr>
      </w:pPr>
      <w:r w:rsidRPr="000A3005">
        <w:rPr>
          <w:rFonts w:ascii="Garamond" w:hAnsi="Garamond"/>
          <w:b w:val="0"/>
          <w:color w:val="000000" w:themeColor="text1"/>
          <w:sz w:val="24"/>
          <w:szCs w:val="24"/>
        </w:rPr>
        <w:t>149,355</w:t>
      </w:r>
      <w:r w:rsidR="00280B66" w:rsidRPr="000A3005">
        <w:rPr>
          <w:rFonts w:ascii="Garamond" w:hAnsi="Garamond"/>
          <w:b w:val="0"/>
          <w:color w:val="000000" w:themeColor="text1"/>
          <w:sz w:val="24"/>
          <w:szCs w:val="24"/>
        </w:rPr>
        <w:t xml:space="preserve"> FTE total staff</w:t>
      </w:r>
      <w:r w:rsidR="00733F03" w:rsidRPr="000A3005">
        <w:rPr>
          <w:rFonts w:ascii="Garamond" w:hAnsi="Garamond"/>
          <w:b w:val="0"/>
          <w:color w:val="000000" w:themeColor="text1"/>
          <w:sz w:val="24"/>
          <w:szCs w:val="24"/>
        </w:rPr>
        <w:t xml:space="preserve"> </w:t>
      </w:r>
    </w:p>
    <w:p w:rsidR="00874B90" w:rsidRPr="00FF45B2" w:rsidRDefault="00AF31D4" w:rsidP="00733F03">
      <w:pPr>
        <w:pStyle w:val="ListParagraph"/>
        <w:numPr>
          <w:ilvl w:val="0"/>
          <w:numId w:val="28"/>
        </w:numPr>
        <w:rPr>
          <w:rFonts w:ascii="Garamond" w:hAnsi="Garamond"/>
        </w:rPr>
      </w:pPr>
      <w:r w:rsidRPr="000A3005">
        <w:rPr>
          <w:rFonts w:ascii="Garamond" w:hAnsi="Garamond"/>
          <w:szCs w:val="24"/>
        </w:rPr>
        <w:t>T</w:t>
      </w:r>
      <w:r w:rsidR="00280B66" w:rsidRPr="000A3005">
        <w:rPr>
          <w:rFonts w:ascii="Garamond" w:hAnsi="Garamond"/>
          <w:szCs w:val="24"/>
        </w:rPr>
        <w:t>eacher turnover rate</w:t>
      </w:r>
      <w:r w:rsidRPr="000A3005">
        <w:rPr>
          <w:rFonts w:ascii="Garamond" w:hAnsi="Garamond"/>
          <w:szCs w:val="24"/>
        </w:rPr>
        <w:t xml:space="preserve"> of</w:t>
      </w:r>
      <w:r w:rsidR="00D17752" w:rsidRPr="000A3005">
        <w:rPr>
          <w:rFonts w:ascii="Garamond" w:hAnsi="Garamond"/>
          <w:szCs w:val="24"/>
        </w:rPr>
        <w:t xml:space="preserve"> 16.4</w:t>
      </w:r>
      <w:r w:rsidR="00280B66" w:rsidRPr="000A3005">
        <w:rPr>
          <w:rFonts w:ascii="Garamond" w:hAnsi="Garamond"/>
          <w:szCs w:val="24"/>
        </w:rPr>
        <w:t>%</w:t>
      </w:r>
      <w:r w:rsidR="00D17752">
        <w:rPr>
          <w:rStyle w:val="EndnoteReference"/>
          <w:rFonts w:ascii="Garamond" w:hAnsi="Garamond"/>
        </w:rPr>
        <w:endnoteReference w:id="2"/>
      </w:r>
      <w:r w:rsidR="0003600F" w:rsidRPr="00FF45B2">
        <w:rPr>
          <w:rFonts w:ascii="Garamond" w:hAnsi="Garamond"/>
        </w:rPr>
        <w:t xml:space="preserve"> </w:t>
      </w:r>
    </w:p>
    <w:p w:rsidR="00733F03" w:rsidRPr="00FF45B2" w:rsidRDefault="00733F03" w:rsidP="00733F03">
      <w:pPr>
        <w:pStyle w:val="ListParagraph"/>
        <w:ind w:left="1490"/>
        <w:rPr>
          <w:rFonts w:ascii="Garamond" w:hAnsi="Garamond"/>
        </w:rPr>
      </w:pPr>
    </w:p>
    <w:p w:rsidR="0081095A" w:rsidRPr="0081095A" w:rsidRDefault="00733F03" w:rsidP="0081095A">
      <w:pPr>
        <w:jc w:val="center"/>
        <w:rPr>
          <w:rFonts w:ascii="Garamond" w:hAnsi="Garamond"/>
          <w:b/>
        </w:rPr>
      </w:pPr>
      <w:r w:rsidRPr="00FF45B2">
        <w:rPr>
          <w:rFonts w:ascii="Garamond" w:hAnsi="Garamond"/>
          <w:b/>
        </w:rPr>
        <w:t>Higher Education</w:t>
      </w:r>
      <w:r w:rsidR="00D325B5">
        <w:rPr>
          <w:rStyle w:val="EndnoteReference"/>
          <w:rFonts w:ascii="Garamond" w:hAnsi="Garamond"/>
          <w:b/>
        </w:rPr>
        <w:endnoteReference w:id="3"/>
      </w:r>
    </w:p>
    <w:p w:rsidR="00733F03" w:rsidRDefault="001C04A3" w:rsidP="00733F03">
      <w:pPr>
        <w:jc w:val="center"/>
        <w:rPr>
          <w:rFonts w:ascii="Garamond" w:hAnsi="Garamond"/>
        </w:rPr>
      </w:pPr>
      <w:r>
        <w:rPr>
          <w:rFonts w:ascii="Garamond" w:hAnsi="Garamond"/>
        </w:rPr>
        <w:t>(as of fall 2013)</w:t>
      </w:r>
    </w:p>
    <w:p w:rsidR="0081095A" w:rsidRPr="00FF45B2" w:rsidRDefault="0081095A" w:rsidP="00733F03">
      <w:pPr>
        <w:jc w:val="center"/>
        <w:rPr>
          <w:rFonts w:ascii="Garamond" w:hAnsi="Garamond"/>
        </w:rPr>
      </w:pPr>
    </w:p>
    <w:p w:rsidR="00733F03" w:rsidRPr="000A3005" w:rsidRDefault="00733F03" w:rsidP="009E21D3">
      <w:pPr>
        <w:pStyle w:val="ListParagraph"/>
        <w:numPr>
          <w:ilvl w:val="0"/>
          <w:numId w:val="28"/>
        </w:numPr>
        <w:rPr>
          <w:rFonts w:ascii="Garamond" w:hAnsi="Garamond"/>
          <w:szCs w:val="24"/>
        </w:rPr>
      </w:pPr>
      <w:r w:rsidRPr="000A3005">
        <w:rPr>
          <w:rFonts w:ascii="Garamond" w:hAnsi="Garamond"/>
          <w:color w:val="000000" w:themeColor="text1"/>
          <w:szCs w:val="24"/>
        </w:rPr>
        <w:t>330,</w:t>
      </w:r>
      <w:r w:rsidR="00AF31D4" w:rsidRPr="000A3005">
        <w:rPr>
          <w:rFonts w:ascii="Garamond" w:hAnsi="Garamond"/>
          <w:color w:val="000000" w:themeColor="text1"/>
          <w:szCs w:val="24"/>
        </w:rPr>
        <w:t>499</w:t>
      </w:r>
      <w:r w:rsidRPr="000A3005">
        <w:rPr>
          <w:rFonts w:ascii="Garamond" w:hAnsi="Garamond"/>
          <w:color w:val="000000" w:themeColor="text1"/>
          <w:szCs w:val="24"/>
        </w:rPr>
        <w:t xml:space="preserve"> students enrolled in </w:t>
      </w:r>
      <w:r w:rsidR="006524AD" w:rsidRPr="000A3005">
        <w:rPr>
          <w:rFonts w:ascii="Garamond" w:hAnsi="Garamond"/>
          <w:color w:val="000000" w:themeColor="text1"/>
          <w:szCs w:val="24"/>
        </w:rPr>
        <w:t xml:space="preserve">public </w:t>
      </w:r>
      <w:r w:rsidRPr="000A3005">
        <w:rPr>
          <w:rFonts w:ascii="Garamond" w:hAnsi="Garamond"/>
          <w:color w:val="000000" w:themeColor="text1"/>
          <w:szCs w:val="24"/>
        </w:rPr>
        <w:t>postsecondary education</w:t>
      </w:r>
      <w:r w:rsidR="00AF31D4" w:rsidRPr="000A3005">
        <w:rPr>
          <w:rFonts w:ascii="Garamond" w:hAnsi="Garamond"/>
          <w:color w:val="000000" w:themeColor="text1"/>
          <w:szCs w:val="24"/>
        </w:rPr>
        <w:t xml:space="preserve"> (in or out of region)</w:t>
      </w:r>
      <w:r w:rsidR="0001759A">
        <w:rPr>
          <w:rStyle w:val="EndnoteReference"/>
          <w:rFonts w:ascii="Garamond" w:hAnsi="Garamond"/>
          <w:color w:val="000000" w:themeColor="text1"/>
          <w:szCs w:val="24"/>
        </w:rPr>
        <w:endnoteReference w:id="4"/>
      </w:r>
    </w:p>
    <w:p w:rsidR="00AF31D4" w:rsidRPr="000A3005" w:rsidRDefault="00AF31D4" w:rsidP="009E21D3">
      <w:pPr>
        <w:pStyle w:val="ListParagraph"/>
        <w:numPr>
          <w:ilvl w:val="0"/>
          <w:numId w:val="28"/>
        </w:numPr>
        <w:rPr>
          <w:rFonts w:ascii="Garamond" w:hAnsi="Garamond"/>
          <w:szCs w:val="24"/>
        </w:rPr>
      </w:pPr>
      <w:r w:rsidRPr="000A3005">
        <w:rPr>
          <w:rFonts w:ascii="Garamond" w:hAnsi="Garamond"/>
          <w:color w:val="000000" w:themeColor="text1"/>
          <w:szCs w:val="24"/>
        </w:rPr>
        <w:t>137,168 students enrolled in 4-year universities</w:t>
      </w:r>
      <w:r w:rsidR="00CF7438" w:rsidRPr="000A3005">
        <w:rPr>
          <w:rFonts w:ascii="Garamond" w:hAnsi="Garamond"/>
          <w:color w:val="000000" w:themeColor="text1"/>
          <w:szCs w:val="24"/>
        </w:rPr>
        <w:t xml:space="preserve"> (in or out of region)</w:t>
      </w:r>
    </w:p>
    <w:p w:rsidR="00AF31D4" w:rsidRPr="000A3005" w:rsidRDefault="00CF7438" w:rsidP="009E21D3">
      <w:pPr>
        <w:pStyle w:val="ListParagraph"/>
        <w:numPr>
          <w:ilvl w:val="0"/>
          <w:numId w:val="28"/>
        </w:numPr>
        <w:rPr>
          <w:rFonts w:ascii="Garamond" w:hAnsi="Garamond"/>
          <w:szCs w:val="24"/>
        </w:rPr>
      </w:pPr>
      <w:r w:rsidRPr="000A3005">
        <w:rPr>
          <w:rFonts w:ascii="Garamond" w:hAnsi="Garamond"/>
          <w:color w:val="000000" w:themeColor="text1"/>
          <w:szCs w:val="24"/>
        </w:rPr>
        <w:t>193,331 students enrolled in public</w:t>
      </w:r>
      <w:r w:rsidR="00AF31D4" w:rsidRPr="000A3005">
        <w:rPr>
          <w:rFonts w:ascii="Garamond" w:hAnsi="Garamond"/>
          <w:color w:val="000000" w:themeColor="text1"/>
          <w:szCs w:val="24"/>
        </w:rPr>
        <w:t xml:space="preserve"> community colleges and technical schools</w:t>
      </w:r>
      <w:r w:rsidRPr="000A3005">
        <w:rPr>
          <w:rFonts w:ascii="Garamond" w:hAnsi="Garamond"/>
          <w:color w:val="000000" w:themeColor="text1"/>
          <w:szCs w:val="24"/>
        </w:rPr>
        <w:t xml:space="preserve"> (in or out of region)</w:t>
      </w:r>
    </w:p>
    <w:p w:rsidR="006524AD" w:rsidRPr="000A3005" w:rsidRDefault="006524AD" w:rsidP="009E21D3">
      <w:pPr>
        <w:pStyle w:val="ListParagraph"/>
        <w:numPr>
          <w:ilvl w:val="0"/>
          <w:numId w:val="28"/>
        </w:numPr>
        <w:rPr>
          <w:rFonts w:ascii="Garamond" w:hAnsi="Garamond"/>
          <w:szCs w:val="24"/>
        </w:rPr>
      </w:pPr>
      <w:r w:rsidRPr="000A3005">
        <w:rPr>
          <w:rFonts w:ascii="Garamond" w:hAnsi="Garamond"/>
          <w:color w:val="000000" w:themeColor="text1"/>
          <w:szCs w:val="24"/>
        </w:rPr>
        <w:t>8,550 students enrolled in 4-year private institutions (in region)</w:t>
      </w:r>
    </w:p>
    <w:p w:rsidR="004F1A1C" w:rsidRPr="000A3005" w:rsidRDefault="004F1A1C" w:rsidP="004F1A1C">
      <w:pPr>
        <w:pStyle w:val="ListParagraph"/>
        <w:numPr>
          <w:ilvl w:val="0"/>
          <w:numId w:val="28"/>
        </w:numPr>
        <w:rPr>
          <w:rFonts w:ascii="Garamond" w:hAnsi="Garamond"/>
          <w:szCs w:val="24"/>
        </w:rPr>
      </w:pPr>
      <w:r>
        <w:rPr>
          <w:rFonts w:ascii="Garamond" w:hAnsi="Garamond"/>
          <w:szCs w:val="24"/>
        </w:rPr>
        <w:t xml:space="preserve">10 </w:t>
      </w:r>
      <w:r w:rsidRPr="000A3005">
        <w:rPr>
          <w:rFonts w:ascii="Garamond" w:hAnsi="Garamond"/>
          <w:szCs w:val="24"/>
        </w:rPr>
        <w:t>public community college systems</w:t>
      </w:r>
    </w:p>
    <w:p w:rsidR="006524AD" w:rsidRDefault="00AF2B70" w:rsidP="006524AD">
      <w:pPr>
        <w:pStyle w:val="ListParagraph"/>
        <w:numPr>
          <w:ilvl w:val="0"/>
          <w:numId w:val="28"/>
        </w:numPr>
        <w:rPr>
          <w:rFonts w:ascii="Garamond" w:hAnsi="Garamond"/>
          <w:szCs w:val="24"/>
        </w:rPr>
      </w:pPr>
      <w:r w:rsidRPr="000A3005">
        <w:rPr>
          <w:rFonts w:ascii="Garamond" w:hAnsi="Garamond"/>
          <w:szCs w:val="24"/>
        </w:rPr>
        <w:t>6</w:t>
      </w:r>
      <w:r w:rsidR="00CF7438" w:rsidRPr="000A3005">
        <w:rPr>
          <w:rFonts w:ascii="Garamond" w:hAnsi="Garamond"/>
          <w:szCs w:val="24"/>
        </w:rPr>
        <w:t xml:space="preserve"> public 4-year universities</w:t>
      </w:r>
    </w:p>
    <w:p w:rsidR="004F1A1C" w:rsidRPr="004F1A1C" w:rsidRDefault="004F1A1C" w:rsidP="004F1A1C">
      <w:pPr>
        <w:pStyle w:val="ListParagraph"/>
        <w:numPr>
          <w:ilvl w:val="0"/>
          <w:numId w:val="28"/>
        </w:numPr>
        <w:rPr>
          <w:rFonts w:ascii="Garamond" w:hAnsi="Garamond"/>
        </w:rPr>
      </w:pPr>
      <w:r>
        <w:rPr>
          <w:rFonts w:ascii="Garamond" w:hAnsi="Garamond"/>
          <w:szCs w:val="24"/>
        </w:rPr>
        <w:t xml:space="preserve">3 </w:t>
      </w:r>
      <w:r w:rsidRPr="000A3005">
        <w:rPr>
          <w:rFonts w:ascii="Garamond" w:hAnsi="Garamond"/>
          <w:szCs w:val="24"/>
        </w:rPr>
        <w:t xml:space="preserve">private </w:t>
      </w:r>
      <w:r>
        <w:rPr>
          <w:rFonts w:ascii="Garamond" w:hAnsi="Garamond"/>
          <w:szCs w:val="24"/>
        </w:rPr>
        <w:t>4-year universities</w:t>
      </w:r>
    </w:p>
    <w:p w:rsidR="008201E5" w:rsidRPr="008201E5" w:rsidRDefault="008201E5" w:rsidP="008201E5">
      <w:pPr>
        <w:pStyle w:val="ListParagraph"/>
        <w:ind w:left="770"/>
        <w:rPr>
          <w:rFonts w:ascii="Garamond" w:hAnsi="Garamond"/>
        </w:rPr>
      </w:pPr>
    </w:p>
    <w:p w:rsidR="001C04A3" w:rsidRDefault="001C04A3" w:rsidP="0061749C">
      <w:pPr>
        <w:pStyle w:val="Heading7"/>
        <w:spacing w:after="0"/>
        <w:rPr>
          <w:rFonts w:ascii="Garamond" w:hAnsi="Garamond"/>
          <w:color w:val="000000" w:themeColor="text1"/>
          <w:sz w:val="24"/>
        </w:rPr>
      </w:pPr>
    </w:p>
    <w:p w:rsidR="001C04A3" w:rsidRDefault="001C04A3" w:rsidP="001C04A3"/>
    <w:p w:rsidR="00730DA2" w:rsidRDefault="00730DA2" w:rsidP="0061749C">
      <w:pPr>
        <w:pStyle w:val="Heading7"/>
        <w:spacing w:after="0"/>
        <w:rPr>
          <w:rFonts w:ascii="Garamond" w:hAnsi="Garamond"/>
          <w:color w:val="000000" w:themeColor="text1"/>
          <w:sz w:val="24"/>
          <w:szCs w:val="24"/>
          <w:u w:val="single"/>
        </w:rPr>
      </w:pPr>
    </w:p>
    <w:p w:rsidR="00730DA2" w:rsidRPr="00730DA2" w:rsidRDefault="00730DA2" w:rsidP="00730DA2"/>
    <w:p w:rsidR="00A04EC2" w:rsidRPr="00874DE2" w:rsidRDefault="00AC3FFD" w:rsidP="0061749C">
      <w:pPr>
        <w:pStyle w:val="Heading7"/>
        <w:spacing w:after="0"/>
        <w:rPr>
          <w:rFonts w:ascii="Garamond" w:hAnsi="Garamond"/>
          <w:color w:val="000000" w:themeColor="text1"/>
          <w:sz w:val="24"/>
          <w:szCs w:val="24"/>
          <w:u w:val="single"/>
        </w:rPr>
      </w:pPr>
      <w:r w:rsidRPr="00874DE2">
        <w:rPr>
          <w:rFonts w:ascii="Garamond" w:hAnsi="Garamond"/>
          <w:color w:val="000000" w:themeColor="text1"/>
          <w:sz w:val="24"/>
          <w:szCs w:val="24"/>
          <w:u w:val="single"/>
        </w:rPr>
        <w:lastRenderedPageBreak/>
        <w:t>Education</w:t>
      </w:r>
      <w:r w:rsidR="00483CDB" w:rsidRPr="00874DE2">
        <w:rPr>
          <w:rFonts w:ascii="Garamond" w:hAnsi="Garamond"/>
          <w:color w:val="000000" w:themeColor="text1"/>
          <w:sz w:val="24"/>
          <w:szCs w:val="24"/>
          <w:u w:val="single"/>
        </w:rPr>
        <w:t>al</w:t>
      </w:r>
      <w:r w:rsidRPr="00874DE2">
        <w:rPr>
          <w:rFonts w:ascii="Garamond" w:hAnsi="Garamond"/>
          <w:color w:val="000000" w:themeColor="text1"/>
          <w:sz w:val="24"/>
          <w:szCs w:val="24"/>
          <w:u w:val="single"/>
        </w:rPr>
        <w:t xml:space="preserve"> Services Contribution to Job Market</w:t>
      </w:r>
    </w:p>
    <w:p w:rsidR="00577389" w:rsidRPr="00FF45B2" w:rsidRDefault="00577389" w:rsidP="00C93077">
      <w:pPr>
        <w:rPr>
          <w:rFonts w:ascii="Garamond" w:hAnsi="Garamond"/>
        </w:rPr>
      </w:pPr>
    </w:p>
    <w:p w:rsidR="00AC3FFD" w:rsidRDefault="00625ABF" w:rsidP="00C93077">
      <w:pPr>
        <w:rPr>
          <w:rFonts w:ascii="Garamond" w:hAnsi="Garamond"/>
        </w:rPr>
      </w:pPr>
      <w:r w:rsidRPr="00FF45B2">
        <w:rPr>
          <w:rFonts w:ascii="Garamond" w:hAnsi="Garamond"/>
        </w:rPr>
        <w:t>In terms of contribution to total employment, education</w:t>
      </w:r>
      <w:r w:rsidR="00483CDB">
        <w:rPr>
          <w:rFonts w:ascii="Garamond" w:hAnsi="Garamond"/>
        </w:rPr>
        <w:t>al</w:t>
      </w:r>
      <w:r w:rsidRPr="00FF45B2">
        <w:rPr>
          <w:rFonts w:ascii="Garamond" w:hAnsi="Garamond"/>
        </w:rPr>
        <w:t xml:space="preserve"> services in the Gulf Coast region is on par with other major industries such as accommodation and food services</w:t>
      </w:r>
      <w:r w:rsidR="00577389" w:rsidRPr="00FF45B2">
        <w:rPr>
          <w:rFonts w:ascii="Garamond" w:hAnsi="Garamond"/>
        </w:rPr>
        <w:t>, healthcare, retail, and energy</w:t>
      </w:r>
      <w:r w:rsidRPr="00FF45B2">
        <w:rPr>
          <w:rFonts w:ascii="Garamond" w:hAnsi="Garamond"/>
        </w:rPr>
        <w:t>. As</w:t>
      </w:r>
      <w:r w:rsidR="008228F7">
        <w:rPr>
          <w:rFonts w:ascii="Garamond" w:hAnsi="Garamond"/>
        </w:rPr>
        <w:t xml:space="preserve"> of</w:t>
      </w:r>
      <w:r w:rsidRPr="00FF45B2">
        <w:rPr>
          <w:rFonts w:ascii="Garamond" w:hAnsi="Garamond"/>
        </w:rPr>
        <w:t xml:space="preserve"> the first quarter of 2015, education comprised 9.6% of total</w:t>
      </w:r>
      <w:r w:rsidR="000C0981" w:rsidRPr="00FF45B2">
        <w:rPr>
          <w:rFonts w:ascii="Garamond" w:hAnsi="Garamond"/>
        </w:rPr>
        <w:t xml:space="preserve"> employment</w:t>
      </w:r>
      <w:r w:rsidR="008228F7">
        <w:rPr>
          <w:rFonts w:ascii="Garamond" w:hAnsi="Garamond"/>
        </w:rPr>
        <w:t>,</w:t>
      </w:r>
      <w:r w:rsidR="00E9114A">
        <w:rPr>
          <w:rFonts w:ascii="Garamond" w:hAnsi="Garamond"/>
        </w:rPr>
        <w:t xml:space="preserve"> or 280,455</w:t>
      </w:r>
      <w:r w:rsidR="000C0981" w:rsidRPr="00FF45B2">
        <w:rPr>
          <w:rFonts w:ascii="Garamond" w:hAnsi="Garamond"/>
        </w:rPr>
        <w:t xml:space="preserve"> jobs.</w:t>
      </w:r>
      <w:r w:rsidR="00F66F61">
        <w:rPr>
          <w:rFonts w:ascii="Garamond" w:hAnsi="Garamond"/>
        </w:rPr>
        <w:t xml:space="preserve"> (See Chart 1.)</w:t>
      </w:r>
    </w:p>
    <w:p w:rsidR="00A04EC2" w:rsidRPr="00DC15B0" w:rsidRDefault="00625ABF" w:rsidP="00DC15B0">
      <w:pPr>
        <w:rPr>
          <w:rFonts w:ascii="Garamond" w:hAnsi="Garamond"/>
        </w:rPr>
      </w:pPr>
      <w:r w:rsidRPr="00FF45B2">
        <w:rPr>
          <w:rFonts w:ascii="Garamond" w:hAnsi="Garamond"/>
        </w:rPr>
        <w:t xml:space="preserve"> </w:t>
      </w:r>
    </w:p>
    <w:p w:rsidR="009949FF" w:rsidRPr="00FF45B2" w:rsidRDefault="00DA59FB" w:rsidP="00C93077">
      <w:pPr>
        <w:jc w:val="center"/>
        <w:rPr>
          <w:rFonts w:ascii="Garamond" w:hAnsi="Garamond"/>
        </w:rPr>
      </w:pPr>
      <w:r w:rsidRPr="00DA59FB">
        <w:rPr>
          <w:noProof/>
        </w:rPr>
        <w:drawing>
          <wp:inline distT="0" distB="0" distL="0" distR="0">
            <wp:extent cx="5486400" cy="330965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486400" cy="3309655"/>
                    </a:xfrm>
                    <a:prstGeom prst="rect">
                      <a:avLst/>
                    </a:prstGeom>
                    <a:noFill/>
                    <a:ln w="9525">
                      <a:noFill/>
                      <a:miter lim="800000"/>
                      <a:headEnd/>
                      <a:tailEnd/>
                    </a:ln>
                  </pic:spPr>
                </pic:pic>
              </a:graphicData>
            </a:graphic>
          </wp:inline>
        </w:drawing>
      </w:r>
    </w:p>
    <w:p w:rsidR="00625ABF" w:rsidRDefault="00625ABF" w:rsidP="00C93077">
      <w:pPr>
        <w:jc w:val="center"/>
        <w:rPr>
          <w:rFonts w:ascii="Garamond" w:hAnsi="Garamond"/>
        </w:rPr>
      </w:pPr>
    </w:p>
    <w:p w:rsidR="007E7A8B" w:rsidRDefault="007E7A8B" w:rsidP="00AC3FFD">
      <w:pPr>
        <w:rPr>
          <w:rFonts w:ascii="Garamond" w:hAnsi="Garamond"/>
          <w:b/>
        </w:rPr>
      </w:pPr>
    </w:p>
    <w:p w:rsidR="00AC3FFD" w:rsidRPr="00874DE2" w:rsidRDefault="00AC3FFD" w:rsidP="00AC3FFD">
      <w:pPr>
        <w:rPr>
          <w:rFonts w:ascii="Garamond" w:hAnsi="Garamond"/>
          <w:b/>
          <w:szCs w:val="24"/>
          <w:u w:val="single"/>
        </w:rPr>
      </w:pPr>
      <w:r w:rsidRPr="00874DE2">
        <w:rPr>
          <w:rFonts w:ascii="Garamond" w:hAnsi="Garamond"/>
          <w:b/>
          <w:szCs w:val="24"/>
          <w:u w:val="single"/>
        </w:rPr>
        <w:t>Major Types of Educational Services</w:t>
      </w:r>
    </w:p>
    <w:p w:rsidR="00AC3FFD" w:rsidRDefault="00AC3FFD" w:rsidP="00625ABF">
      <w:pPr>
        <w:rPr>
          <w:rFonts w:ascii="Garamond" w:hAnsi="Garamond"/>
        </w:rPr>
      </w:pPr>
    </w:p>
    <w:p w:rsidR="00AC3FFD" w:rsidRDefault="00DA59FB" w:rsidP="00625ABF">
      <w:pPr>
        <w:rPr>
          <w:rFonts w:ascii="Garamond" w:hAnsi="Garamond"/>
        </w:rPr>
      </w:pPr>
      <w:r>
        <w:rPr>
          <w:rFonts w:ascii="Garamond" w:hAnsi="Garamond"/>
        </w:rPr>
        <w:t>E</w:t>
      </w:r>
      <w:r w:rsidR="00625ABF" w:rsidRPr="00FF45B2">
        <w:rPr>
          <w:rFonts w:ascii="Garamond" w:hAnsi="Garamond"/>
        </w:rPr>
        <w:t>ducation</w:t>
      </w:r>
      <w:r w:rsidR="00AC3FFD">
        <w:rPr>
          <w:rFonts w:ascii="Garamond" w:hAnsi="Garamond"/>
        </w:rPr>
        <w:t>al</w:t>
      </w:r>
      <w:r w:rsidR="00625ABF" w:rsidRPr="00FF45B2">
        <w:rPr>
          <w:rFonts w:ascii="Garamond" w:hAnsi="Garamond"/>
        </w:rPr>
        <w:t xml:space="preserve"> services </w:t>
      </w:r>
      <w:r w:rsidR="00AC3FFD">
        <w:rPr>
          <w:rFonts w:ascii="Garamond" w:hAnsi="Garamond"/>
        </w:rPr>
        <w:t xml:space="preserve">can be divided into three major types based on government </w:t>
      </w:r>
      <w:r w:rsidR="00642D4C">
        <w:rPr>
          <w:rFonts w:ascii="Garamond" w:hAnsi="Garamond"/>
        </w:rPr>
        <w:t xml:space="preserve">level of affiliation </w:t>
      </w:r>
      <w:r w:rsidR="00AC3FFD">
        <w:rPr>
          <w:rFonts w:ascii="Garamond" w:hAnsi="Garamond"/>
        </w:rPr>
        <w:t>or private ownership of</w:t>
      </w:r>
      <w:r w:rsidR="00642D4C">
        <w:rPr>
          <w:rFonts w:ascii="Garamond" w:hAnsi="Garamond"/>
        </w:rPr>
        <w:t xml:space="preserve"> the</w:t>
      </w:r>
      <w:r w:rsidR="00AC3FFD">
        <w:rPr>
          <w:rFonts w:ascii="Garamond" w:hAnsi="Garamond"/>
        </w:rPr>
        <w:t xml:space="preserve"> entities providing services</w:t>
      </w:r>
      <w:r w:rsidR="00642D4C">
        <w:rPr>
          <w:rFonts w:ascii="Garamond" w:hAnsi="Garamond"/>
        </w:rPr>
        <w:t>:</w:t>
      </w:r>
    </w:p>
    <w:p w:rsidR="00AC3FFD" w:rsidRDefault="00625ABF" w:rsidP="00625ABF">
      <w:pPr>
        <w:rPr>
          <w:rFonts w:ascii="Garamond" w:hAnsi="Garamond"/>
        </w:rPr>
      </w:pPr>
      <w:r w:rsidRPr="00FF45B2">
        <w:rPr>
          <w:rFonts w:ascii="Garamond" w:hAnsi="Garamond"/>
        </w:rPr>
        <w:t xml:space="preserve"> </w:t>
      </w:r>
    </w:p>
    <w:p w:rsidR="00642D4C" w:rsidRPr="007C0F37" w:rsidRDefault="00642D4C" w:rsidP="00642D4C">
      <w:pPr>
        <w:pStyle w:val="ListParagraph"/>
        <w:numPr>
          <w:ilvl w:val="0"/>
          <w:numId w:val="32"/>
        </w:numPr>
        <w:rPr>
          <w:rFonts w:ascii="Garamond" w:hAnsi="Garamond"/>
          <w:b/>
        </w:rPr>
      </w:pPr>
      <w:r w:rsidRPr="007C0F37">
        <w:rPr>
          <w:rFonts w:ascii="Garamond" w:hAnsi="Garamond"/>
          <w:b/>
        </w:rPr>
        <w:t>Local government educational services</w:t>
      </w:r>
    </w:p>
    <w:p w:rsidR="00AC3FFD" w:rsidRPr="007C0F37" w:rsidRDefault="00AC3FFD" w:rsidP="00642D4C">
      <w:pPr>
        <w:pStyle w:val="ListParagraph"/>
        <w:numPr>
          <w:ilvl w:val="0"/>
          <w:numId w:val="32"/>
        </w:numPr>
        <w:rPr>
          <w:rFonts w:ascii="Garamond" w:hAnsi="Garamond"/>
          <w:b/>
        </w:rPr>
      </w:pPr>
      <w:r w:rsidRPr="007C0F37">
        <w:rPr>
          <w:rFonts w:ascii="Garamond" w:hAnsi="Garamond"/>
          <w:b/>
        </w:rPr>
        <w:t>S</w:t>
      </w:r>
      <w:r w:rsidR="00625ABF" w:rsidRPr="007C0F37">
        <w:rPr>
          <w:rFonts w:ascii="Garamond" w:hAnsi="Garamond"/>
          <w:b/>
        </w:rPr>
        <w:t xml:space="preserve">tate </w:t>
      </w:r>
      <w:r w:rsidRPr="007C0F37">
        <w:rPr>
          <w:rFonts w:ascii="Garamond" w:hAnsi="Garamond"/>
          <w:b/>
        </w:rPr>
        <w:t>government educational services</w:t>
      </w:r>
      <w:r w:rsidR="00625ABF" w:rsidRPr="007C0F37">
        <w:rPr>
          <w:rFonts w:ascii="Garamond" w:hAnsi="Garamond"/>
          <w:b/>
        </w:rPr>
        <w:t xml:space="preserve"> </w:t>
      </w:r>
    </w:p>
    <w:p w:rsidR="00AC3FFD" w:rsidRPr="00AC3FFD" w:rsidRDefault="00AC3FFD" w:rsidP="00AC3FFD">
      <w:pPr>
        <w:pStyle w:val="ListParagraph"/>
        <w:numPr>
          <w:ilvl w:val="0"/>
          <w:numId w:val="32"/>
        </w:numPr>
        <w:rPr>
          <w:rFonts w:ascii="Garamond" w:hAnsi="Garamond"/>
        </w:rPr>
      </w:pPr>
      <w:r w:rsidRPr="007C0F37">
        <w:rPr>
          <w:rFonts w:ascii="Garamond" w:hAnsi="Garamond"/>
          <w:b/>
        </w:rPr>
        <w:t>P</w:t>
      </w:r>
      <w:r w:rsidR="00625ABF" w:rsidRPr="007C0F37">
        <w:rPr>
          <w:rFonts w:ascii="Garamond" w:hAnsi="Garamond"/>
          <w:b/>
        </w:rPr>
        <w:t>rivate educational services</w:t>
      </w:r>
      <w:r w:rsidR="00625ABF" w:rsidRPr="00AC3FFD">
        <w:rPr>
          <w:rFonts w:ascii="Garamond" w:hAnsi="Garamond"/>
        </w:rPr>
        <w:t xml:space="preserve"> </w:t>
      </w:r>
    </w:p>
    <w:p w:rsidR="00AC3FFD" w:rsidRDefault="00AC3FFD" w:rsidP="00625ABF">
      <w:pPr>
        <w:rPr>
          <w:rFonts w:ascii="Garamond" w:hAnsi="Garamond"/>
        </w:rPr>
      </w:pPr>
    </w:p>
    <w:p w:rsidR="00625ABF" w:rsidRPr="00FF45B2" w:rsidRDefault="00625ABF" w:rsidP="00625ABF">
      <w:pPr>
        <w:rPr>
          <w:rFonts w:ascii="Garamond" w:hAnsi="Garamond"/>
        </w:rPr>
      </w:pPr>
      <w:r w:rsidRPr="00FF45B2">
        <w:rPr>
          <w:rFonts w:ascii="Garamond" w:hAnsi="Garamond"/>
        </w:rPr>
        <w:t xml:space="preserve">Of these, </w:t>
      </w:r>
      <w:r w:rsidRPr="007C0F37">
        <w:rPr>
          <w:rFonts w:ascii="Garamond" w:hAnsi="Garamond"/>
          <w:b/>
        </w:rPr>
        <w:t>local government educational service</w:t>
      </w:r>
      <w:r w:rsidRPr="00956C04">
        <w:rPr>
          <w:rFonts w:ascii="Garamond" w:hAnsi="Garamond"/>
          <w:b/>
        </w:rPr>
        <w:t>s</w:t>
      </w:r>
      <w:r w:rsidR="00956C04">
        <w:rPr>
          <w:rFonts w:ascii="Garamond" w:hAnsi="Garamond"/>
        </w:rPr>
        <w:t xml:space="preserve"> </w:t>
      </w:r>
      <w:r w:rsidRPr="00FF45B2">
        <w:rPr>
          <w:rFonts w:ascii="Garamond" w:hAnsi="Garamond"/>
        </w:rPr>
        <w:t xml:space="preserve">is </w:t>
      </w:r>
      <w:r w:rsidR="00AC3FFD">
        <w:rPr>
          <w:rFonts w:ascii="Garamond" w:hAnsi="Garamond"/>
        </w:rPr>
        <w:t xml:space="preserve">the </w:t>
      </w:r>
      <w:r w:rsidRPr="00FF45B2">
        <w:rPr>
          <w:rFonts w:ascii="Garamond" w:hAnsi="Garamond"/>
        </w:rPr>
        <w:t>largest at 70.6%</w:t>
      </w:r>
      <w:r w:rsidR="00AC3FFD">
        <w:rPr>
          <w:rFonts w:ascii="Garamond" w:hAnsi="Garamond"/>
        </w:rPr>
        <w:t xml:space="preserve"> of education-related employment</w:t>
      </w:r>
      <w:r w:rsidRPr="00FF45B2">
        <w:rPr>
          <w:rFonts w:ascii="Garamond" w:hAnsi="Garamond"/>
        </w:rPr>
        <w:t xml:space="preserve"> as of Q1 2015. </w:t>
      </w:r>
      <w:r w:rsidR="00437AC9">
        <w:rPr>
          <w:rFonts w:ascii="Garamond" w:hAnsi="Garamond"/>
        </w:rPr>
        <w:t xml:space="preserve">Within this </w:t>
      </w:r>
      <w:r w:rsidR="00957EF1">
        <w:rPr>
          <w:rFonts w:ascii="Garamond" w:hAnsi="Garamond"/>
        </w:rPr>
        <w:t>subset</w:t>
      </w:r>
      <w:r w:rsidR="00437AC9">
        <w:rPr>
          <w:rFonts w:ascii="Garamond" w:hAnsi="Garamond"/>
        </w:rPr>
        <w:t xml:space="preserve"> of education, 92%</w:t>
      </w:r>
      <w:r w:rsidRPr="00FF45B2">
        <w:rPr>
          <w:rFonts w:ascii="Garamond" w:hAnsi="Garamond"/>
        </w:rPr>
        <w:t xml:space="preserve"> </w:t>
      </w:r>
      <w:r w:rsidR="00437AC9">
        <w:rPr>
          <w:rFonts w:ascii="Garamond" w:hAnsi="Garamond"/>
        </w:rPr>
        <w:t>of jobs are</w:t>
      </w:r>
      <w:r w:rsidR="00642D4C">
        <w:rPr>
          <w:rFonts w:ascii="Garamond" w:hAnsi="Garamond"/>
        </w:rPr>
        <w:t xml:space="preserve"> found in</w:t>
      </w:r>
      <w:r w:rsidR="00AC3FFD">
        <w:rPr>
          <w:rFonts w:ascii="Garamond" w:hAnsi="Garamond"/>
        </w:rPr>
        <w:t xml:space="preserve"> </w:t>
      </w:r>
      <w:r w:rsidRPr="00FF45B2">
        <w:rPr>
          <w:rFonts w:ascii="Garamond" w:hAnsi="Garamond"/>
        </w:rPr>
        <w:t>primary and secondary</w:t>
      </w:r>
      <w:r w:rsidR="00957EF1">
        <w:rPr>
          <w:rFonts w:ascii="Garamond" w:hAnsi="Garamond"/>
        </w:rPr>
        <w:t xml:space="preserve"> public schools</w:t>
      </w:r>
      <w:r w:rsidR="00437AC9">
        <w:rPr>
          <w:rFonts w:ascii="Garamond" w:hAnsi="Garamond"/>
        </w:rPr>
        <w:t xml:space="preserve"> with the remainder </w:t>
      </w:r>
      <w:r w:rsidR="00B308EF">
        <w:rPr>
          <w:rFonts w:ascii="Garamond" w:hAnsi="Garamond"/>
        </w:rPr>
        <w:t>found</w:t>
      </w:r>
      <w:r w:rsidR="00437AC9">
        <w:rPr>
          <w:rFonts w:ascii="Garamond" w:hAnsi="Garamond"/>
        </w:rPr>
        <w:t xml:space="preserve"> in</w:t>
      </w:r>
      <w:r w:rsidR="00642D4C">
        <w:rPr>
          <w:rFonts w:ascii="Garamond" w:hAnsi="Garamond"/>
        </w:rPr>
        <w:t xml:space="preserve"> junior colleges</w:t>
      </w:r>
      <w:r w:rsidRPr="00FF45B2">
        <w:rPr>
          <w:rFonts w:ascii="Garamond" w:hAnsi="Garamond"/>
        </w:rPr>
        <w:t xml:space="preserve">. </w:t>
      </w:r>
      <w:r w:rsidR="00437AC9">
        <w:rPr>
          <w:rFonts w:ascii="Garamond" w:hAnsi="Garamond"/>
        </w:rPr>
        <w:t>All</w:t>
      </w:r>
      <w:r w:rsidR="00642D4C">
        <w:rPr>
          <w:rFonts w:ascii="Garamond" w:hAnsi="Garamond"/>
        </w:rPr>
        <w:t xml:space="preserve"> of the 38,713 jobs in </w:t>
      </w:r>
      <w:r w:rsidR="00642D4C" w:rsidRPr="007C0F37">
        <w:rPr>
          <w:rFonts w:ascii="Garamond" w:hAnsi="Garamond"/>
          <w:b/>
        </w:rPr>
        <w:t>state government educational services</w:t>
      </w:r>
      <w:r w:rsidR="00642D4C">
        <w:rPr>
          <w:rFonts w:ascii="Garamond" w:hAnsi="Garamond"/>
        </w:rPr>
        <w:t xml:space="preserve"> </w:t>
      </w:r>
      <w:r w:rsidR="00437AC9">
        <w:rPr>
          <w:rFonts w:ascii="Garamond" w:hAnsi="Garamond"/>
        </w:rPr>
        <w:t>are</w:t>
      </w:r>
      <w:r w:rsidR="00642D4C">
        <w:rPr>
          <w:rFonts w:ascii="Garamond" w:hAnsi="Garamond"/>
        </w:rPr>
        <w:t xml:space="preserve"> located within public colleges and universities.</w:t>
      </w:r>
      <w:r w:rsidR="007C0F37">
        <w:rPr>
          <w:rFonts w:ascii="Garamond" w:hAnsi="Garamond"/>
        </w:rPr>
        <w:t xml:space="preserve"> </w:t>
      </w:r>
      <w:r w:rsidR="00437AC9">
        <w:rPr>
          <w:rFonts w:ascii="Garamond" w:hAnsi="Garamond"/>
        </w:rPr>
        <w:t xml:space="preserve">Employment in </w:t>
      </w:r>
      <w:r w:rsidR="00437AC9" w:rsidRPr="007C0F37">
        <w:rPr>
          <w:rFonts w:ascii="Garamond" w:hAnsi="Garamond"/>
          <w:b/>
        </w:rPr>
        <w:t>private educational services</w:t>
      </w:r>
      <w:r w:rsidR="00437AC9">
        <w:rPr>
          <w:rFonts w:ascii="Garamond" w:hAnsi="Garamond"/>
        </w:rPr>
        <w:t xml:space="preserve"> is spread across all levels of education from primary and secondary schools to colleges and universities to educational support services. Of the total 44,162 jobs in private education,</w:t>
      </w:r>
      <w:r w:rsidR="007C0F37">
        <w:rPr>
          <w:rFonts w:ascii="Garamond" w:hAnsi="Garamond"/>
        </w:rPr>
        <w:t xml:space="preserve"> the largest concentrations of employment are found in colleges and universities (16,605) and primary and secondary schools (</w:t>
      </w:r>
      <w:r w:rsidR="00B308EF">
        <w:rPr>
          <w:rFonts w:ascii="Garamond" w:hAnsi="Garamond"/>
        </w:rPr>
        <w:t>13,341)</w:t>
      </w:r>
      <w:r w:rsidR="007C0F37">
        <w:rPr>
          <w:rFonts w:ascii="Garamond" w:hAnsi="Garamond"/>
        </w:rPr>
        <w:t>.</w:t>
      </w:r>
      <w:r w:rsidR="00437AC9">
        <w:rPr>
          <w:rFonts w:ascii="Garamond" w:hAnsi="Garamond"/>
        </w:rPr>
        <w:t xml:space="preserve"> </w:t>
      </w:r>
      <w:r w:rsidR="00F66F61">
        <w:rPr>
          <w:rFonts w:ascii="Garamond" w:hAnsi="Garamond"/>
        </w:rPr>
        <w:t>(See Chart 2.)</w:t>
      </w:r>
    </w:p>
    <w:p w:rsidR="009949FF" w:rsidRPr="00FF45B2" w:rsidRDefault="009949FF" w:rsidP="009949FF">
      <w:pPr>
        <w:rPr>
          <w:rFonts w:ascii="Garamond" w:hAnsi="Garamond"/>
        </w:rPr>
      </w:pPr>
    </w:p>
    <w:p w:rsidR="00FD1494" w:rsidRPr="00FF45B2" w:rsidRDefault="00FC7544" w:rsidP="00FD1494">
      <w:pPr>
        <w:jc w:val="center"/>
        <w:rPr>
          <w:rFonts w:ascii="Garamond" w:hAnsi="Garamond"/>
        </w:rPr>
      </w:pPr>
      <w:r w:rsidRPr="00FC7544">
        <w:rPr>
          <w:noProof/>
        </w:rPr>
        <w:lastRenderedPageBreak/>
        <w:drawing>
          <wp:inline distT="0" distB="0" distL="0" distR="0">
            <wp:extent cx="5486400" cy="3343856"/>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486400" cy="3343856"/>
                    </a:xfrm>
                    <a:prstGeom prst="rect">
                      <a:avLst/>
                    </a:prstGeom>
                    <a:noFill/>
                    <a:ln w="9525">
                      <a:noFill/>
                      <a:miter lim="800000"/>
                      <a:headEnd/>
                      <a:tailEnd/>
                    </a:ln>
                  </pic:spPr>
                </pic:pic>
              </a:graphicData>
            </a:graphic>
          </wp:inline>
        </w:drawing>
      </w:r>
    </w:p>
    <w:p w:rsidR="00FD1494" w:rsidRPr="00FF45B2" w:rsidRDefault="00FD1494" w:rsidP="009949FF">
      <w:pPr>
        <w:rPr>
          <w:rFonts w:ascii="Garamond" w:hAnsi="Garamond"/>
        </w:rPr>
      </w:pPr>
    </w:p>
    <w:p w:rsidR="00AC3FFD" w:rsidRDefault="00AC3FFD" w:rsidP="009975DC">
      <w:pPr>
        <w:autoSpaceDE w:val="0"/>
        <w:autoSpaceDN w:val="0"/>
        <w:adjustRightInd w:val="0"/>
        <w:rPr>
          <w:rFonts w:ascii="Garamond" w:hAnsi="Garamond"/>
          <w:b/>
        </w:rPr>
      </w:pPr>
    </w:p>
    <w:p w:rsidR="00167269" w:rsidRPr="00874DE2" w:rsidRDefault="00167269" w:rsidP="009975DC">
      <w:pPr>
        <w:autoSpaceDE w:val="0"/>
        <w:autoSpaceDN w:val="0"/>
        <w:adjustRightInd w:val="0"/>
        <w:rPr>
          <w:rFonts w:ascii="Garamond" w:hAnsi="Garamond"/>
          <w:b/>
          <w:szCs w:val="24"/>
          <w:u w:val="single"/>
        </w:rPr>
      </w:pPr>
      <w:r w:rsidRPr="00874DE2">
        <w:rPr>
          <w:rFonts w:ascii="Garamond" w:hAnsi="Garamond"/>
          <w:b/>
          <w:szCs w:val="24"/>
          <w:u w:val="single"/>
        </w:rPr>
        <w:t xml:space="preserve">The </w:t>
      </w:r>
      <w:r w:rsidR="00DC15B0" w:rsidRPr="00874DE2">
        <w:rPr>
          <w:rFonts w:ascii="Garamond" w:hAnsi="Garamond"/>
          <w:b/>
          <w:szCs w:val="24"/>
          <w:u w:val="single"/>
        </w:rPr>
        <w:t>S</w:t>
      </w:r>
      <w:r w:rsidRPr="00874DE2">
        <w:rPr>
          <w:rFonts w:ascii="Garamond" w:hAnsi="Garamond"/>
          <w:b/>
          <w:szCs w:val="24"/>
          <w:u w:val="single"/>
        </w:rPr>
        <w:t>e</w:t>
      </w:r>
      <w:r w:rsidR="00DC15B0" w:rsidRPr="00874DE2">
        <w:rPr>
          <w:rFonts w:ascii="Garamond" w:hAnsi="Garamond"/>
          <w:b/>
          <w:szCs w:val="24"/>
          <w:u w:val="single"/>
        </w:rPr>
        <w:t>asonal Nature of Education Jobs</w:t>
      </w:r>
    </w:p>
    <w:p w:rsidR="00677CA0" w:rsidRPr="00FF45B2" w:rsidRDefault="00677CA0" w:rsidP="009975DC">
      <w:pPr>
        <w:autoSpaceDE w:val="0"/>
        <w:autoSpaceDN w:val="0"/>
        <w:adjustRightInd w:val="0"/>
        <w:rPr>
          <w:rFonts w:ascii="Garamond" w:hAnsi="Garamond"/>
          <w:b/>
        </w:rPr>
      </w:pPr>
    </w:p>
    <w:p w:rsidR="00EB20AB" w:rsidRPr="00FF45B2" w:rsidRDefault="00167269" w:rsidP="009975DC">
      <w:pPr>
        <w:autoSpaceDE w:val="0"/>
        <w:autoSpaceDN w:val="0"/>
        <w:adjustRightInd w:val="0"/>
        <w:rPr>
          <w:rFonts w:ascii="Garamond" w:hAnsi="Garamond"/>
          <w:b/>
        </w:rPr>
      </w:pPr>
      <w:r w:rsidRPr="00FF45B2">
        <w:rPr>
          <w:rFonts w:ascii="Garamond" w:hAnsi="Garamond"/>
        </w:rPr>
        <w:t>Education</w:t>
      </w:r>
      <w:r w:rsidR="00674F14">
        <w:rPr>
          <w:rFonts w:ascii="Garamond" w:hAnsi="Garamond"/>
        </w:rPr>
        <w:t>al</w:t>
      </w:r>
      <w:r w:rsidR="00053A1A" w:rsidRPr="00FF45B2">
        <w:rPr>
          <w:rFonts w:ascii="Garamond" w:hAnsi="Garamond"/>
        </w:rPr>
        <w:t xml:space="preserve"> services</w:t>
      </w:r>
      <w:r w:rsidR="00AC3FFD">
        <w:rPr>
          <w:rFonts w:ascii="Garamond" w:hAnsi="Garamond"/>
        </w:rPr>
        <w:t xml:space="preserve"> </w:t>
      </w:r>
      <w:r w:rsidR="00302B7A">
        <w:rPr>
          <w:rFonts w:ascii="Garamond" w:hAnsi="Garamond"/>
        </w:rPr>
        <w:t xml:space="preserve">is one of handful of unique industries </w:t>
      </w:r>
      <w:r w:rsidR="000851AC" w:rsidRPr="00FF45B2">
        <w:rPr>
          <w:rFonts w:ascii="Garamond" w:hAnsi="Garamond"/>
        </w:rPr>
        <w:t xml:space="preserve">that </w:t>
      </w:r>
      <w:r w:rsidR="00815EE6" w:rsidRPr="00FF45B2">
        <w:rPr>
          <w:rFonts w:ascii="Garamond" w:hAnsi="Garamond"/>
        </w:rPr>
        <w:t>displays</w:t>
      </w:r>
      <w:r w:rsidRPr="00FF45B2">
        <w:rPr>
          <w:rFonts w:ascii="Garamond" w:hAnsi="Garamond"/>
        </w:rPr>
        <w:t xml:space="preserve"> a </w:t>
      </w:r>
      <w:r w:rsidR="000851AC" w:rsidRPr="00FF45B2">
        <w:rPr>
          <w:rFonts w:ascii="Garamond" w:hAnsi="Garamond"/>
        </w:rPr>
        <w:t xml:space="preserve">highly </w:t>
      </w:r>
      <w:r w:rsidRPr="00FF45B2">
        <w:rPr>
          <w:rFonts w:ascii="Garamond" w:hAnsi="Garamond"/>
        </w:rPr>
        <w:t>regular seasonal pattern</w:t>
      </w:r>
      <w:r w:rsidR="000851AC" w:rsidRPr="00FF45B2">
        <w:rPr>
          <w:rFonts w:ascii="Garamond" w:hAnsi="Garamond"/>
        </w:rPr>
        <w:t xml:space="preserve"> of employment</w:t>
      </w:r>
      <w:r w:rsidRPr="00FF45B2">
        <w:rPr>
          <w:rFonts w:ascii="Garamond" w:hAnsi="Garamond"/>
        </w:rPr>
        <w:t xml:space="preserve"> each year. Employment</w:t>
      </w:r>
      <w:r w:rsidR="00677CA0" w:rsidRPr="00FF45B2">
        <w:rPr>
          <w:rFonts w:ascii="Garamond" w:hAnsi="Garamond"/>
        </w:rPr>
        <w:t xml:space="preserve"> begins to fall in June with the official end of the school year, experiences its steepest declines in July</w:t>
      </w:r>
      <w:r w:rsidR="00F02C5A" w:rsidRPr="00FF45B2">
        <w:rPr>
          <w:rFonts w:ascii="Garamond" w:hAnsi="Garamond"/>
        </w:rPr>
        <w:t>,</w:t>
      </w:r>
      <w:r w:rsidR="00677CA0" w:rsidRPr="00FF45B2">
        <w:rPr>
          <w:rFonts w:ascii="Garamond" w:hAnsi="Garamond"/>
        </w:rPr>
        <w:t xml:space="preserve"> and</w:t>
      </w:r>
      <w:r w:rsidRPr="00FF45B2">
        <w:rPr>
          <w:rFonts w:ascii="Garamond" w:hAnsi="Garamond"/>
        </w:rPr>
        <w:t xml:space="preserve"> </w:t>
      </w:r>
      <w:r w:rsidR="006D0764" w:rsidRPr="00FF45B2">
        <w:rPr>
          <w:rFonts w:ascii="Garamond" w:hAnsi="Garamond"/>
        </w:rPr>
        <w:t>reaches</w:t>
      </w:r>
      <w:r w:rsidRPr="00FF45B2">
        <w:rPr>
          <w:rFonts w:ascii="Garamond" w:hAnsi="Garamond"/>
        </w:rPr>
        <w:t xml:space="preserve"> its lowest</w:t>
      </w:r>
      <w:r w:rsidR="006D0764" w:rsidRPr="00FF45B2">
        <w:rPr>
          <w:rFonts w:ascii="Garamond" w:hAnsi="Garamond"/>
        </w:rPr>
        <w:t xml:space="preserve"> levels</w:t>
      </w:r>
      <w:r w:rsidRPr="00FF45B2">
        <w:rPr>
          <w:rFonts w:ascii="Garamond" w:hAnsi="Garamond"/>
        </w:rPr>
        <w:t xml:space="preserve"> in August as any remaining staff </w:t>
      </w:r>
      <w:r w:rsidR="000851AC" w:rsidRPr="00FF45B2">
        <w:rPr>
          <w:rFonts w:ascii="Garamond" w:hAnsi="Garamond"/>
        </w:rPr>
        <w:t>fall off</w:t>
      </w:r>
      <w:r w:rsidR="00F02C5A" w:rsidRPr="00FF45B2">
        <w:rPr>
          <w:rFonts w:ascii="Garamond" w:hAnsi="Garamond"/>
        </w:rPr>
        <w:t xml:space="preserve"> of</w:t>
      </w:r>
      <w:r w:rsidRPr="00FF45B2">
        <w:rPr>
          <w:rFonts w:ascii="Garamond" w:hAnsi="Garamond"/>
        </w:rPr>
        <w:t xml:space="preserve"> payrolls.</w:t>
      </w:r>
      <w:r w:rsidR="00815EE6" w:rsidRPr="00FF45B2">
        <w:rPr>
          <w:rStyle w:val="FootnoteReference"/>
          <w:rFonts w:ascii="Garamond" w:hAnsi="Garamond"/>
        </w:rPr>
        <w:footnoteReference w:id="1"/>
      </w:r>
      <w:r w:rsidR="00815EE6" w:rsidRPr="00FF45B2">
        <w:rPr>
          <w:rFonts w:ascii="Garamond" w:hAnsi="Garamond"/>
        </w:rPr>
        <w:t xml:space="preserve"> </w:t>
      </w:r>
      <w:r w:rsidR="00302B7A">
        <w:rPr>
          <w:rFonts w:ascii="Garamond" w:hAnsi="Garamond"/>
        </w:rPr>
        <w:t>Fortunately, the majority of these</w:t>
      </w:r>
      <w:r w:rsidR="00815EE6" w:rsidRPr="00FF45B2">
        <w:rPr>
          <w:rFonts w:ascii="Garamond" w:hAnsi="Garamond"/>
        </w:rPr>
        <w:t xml:space="preserve"> losses are </w:t>
      </w:r>
      <w:r w:rsidR="00302B7A">
        <w:rPr>
          <w:rFonts w:ascii="Garamond" w:hAnsi="Garamond"/>
        </w:rPr>
        <w:t>largely</w:t>
      </w:r>
      <w:r w:rsidR="00815EE6" w:rsidRPr="00FF45B2">
        <w:rPr>
          <w:rFonts w:ascii="Garamond" w:hAnsi="Garamond"/>
        </w:rPr>
        <w:t xml:space="preserve"> temporary.</w:t>
      </w:r>
      <w:r w:rsidR="00F02C5A" w:rsidRPr="00FF45B2">
        <w:rPr>
          <w:rFonts w:ascii="Garamond" w:hAnsi="Garamond"/>
        </w:rPr>
        <w:t xml:space="preserve"> </w:t>
      </w:r>
      <w:r w:rsidR="006D0764" w:rsidRPr="00FF45B2">
        <w:rPr>
          <w:rFonts w:ascii="Garamond" w:hAnsi="Garamond"/>
        </w:rPr>
        <w:t>In t</w:t>
      </w:r>
      <w:r w:rsidRPr="00FF45B2">
        <w:rPr>
          <w:rFonts w:ascii="Garamond" w:hAnsi="Garamond"/>
        </w:rPr>
        <w:t>he following month</w:t>
      </w:r>
      <w:r w:rsidR="00677CA0" w:rsidRPr="00FF45B2">
        <w:rPr>
          <w:rFonts w:ascii="Garamond" w:hAnsi="Garamond"/>
        </w:rPr>
        <w:t xml:space="preserve"> of September</w:t>
      </w:r>
      <w:r w:rsidRPr="00FF45B2">
        <w:rPr>
          <w:rFonts w:ascii="Garamond" w:hAnsi="Garamond"/>
        </w:rPr>
        <w:t>, t</w:t>
      </w:r>
      <w:r w:rsidR="005D5ABB" w:rsidRPr="00FF45B2">
        <w:rPr>
          <w:rFonts w:ascii="Garamond" w:hAnsi="Garamond"/>
        </w:rPr>
        <w:t>he bulk of e</w:t>
      </w:r>
      <w:r w:rsidR="00EB20AB" w:rsidRPr="00FF45B2">
        <w:rPr>
          <w:rFonts w:ascii="Garamond" w:hAnsi="Garamond"/>
        </w:rPr>
        <w:t>mployment</w:t>
      </w:r>
      <w:r w:rsidR="005D5ABB" w:rsidRPr="00FF45B2">
        <w:rPr>
          <w:rFonts w:ascii="Garamond" w:hAnsi="Garamond"/>
        </w:rPr>
        <w:t xml:space="preserve"> </w:t>
      </w:r>
      <w:r w:rsidR="00C44A3E" w:rsidRPr="00FF45B2">
        <w:rPr>
          <w:rFonts w:ascii="Garamond" w:hAnsi="Garamond"/>
        </w:rPr>
        <w:t>is regained</w:t>
      </w:r>
      <w:r w:rsidR="00677CA0" w:rsidRPr="00FF45B2">
        <w:rPr>
          <w:rFonts w:ascii="Garamond" w:hAnsi="Garamond"/>
        </w:rPr>
        <w:t xml:space="preserve"> </w:t>
      </w:r>
      <w:r w:rsidRPr="00FF45B2">
        <w:rPr>
          <w:rFonts w:ascii="Garamond" w:hAnsi="Garamond"/>
        </w:rPr>
        <w:t>coinciding</w:t>
      </w:r>
      <w:r w:rsidR="00EB20AB" w:rsidRPr="00FF45B2">
        <w:rPr>
          <w:rFonts w:ascii="Garamond" w:hAnsi="Garamond"/>
        </w:rPr>
        <w:t xml:space="preserve"> with the start of the</w:t>
      </w:r>
      <w:r w:rsidRPr="00FF45B2">
        <w:rPr>
          <w:rFonts w:ascii="Garamond" w:hAnsi="Garamond"/>
        </w:rPr>
        <w:t xml:space="preserve"> new</w:t>
      </w:r>
      <w:r w:rsidR="006D0764" w:rsidRPr="00FF45B2">
        <w:rPr>
          <w:rFonts w:ascii="Garamond" w:hAnsi="Garamond"/>
        </w:rPr>
        <w:t xml:space="preserve"> school year</w:t>
      </w:r>
      <w:r w:rsidR="00F02C5A" w:rsidRPr="00FF45B2">
        <w:rPr>
          <w:rFonts w:ascii="Garamond" w:hAnsi="Garamond"/>
        </w:rPr>
        <w:t>.</w:t>
      </w:r>
      <w:r w:rsidR="005D5ABB" w:rsidRPr="00FF45B2">
        <w:rPr>
          <w:rFonts w:ascii="Garamond" w:hAnsi="Garamond"/>
        </w:rPr>
        <w:t xml:space="preserve"> </w:t>
      </w:r>
      <w:r w:rsidR="00815EE6" w:rsidRPr="00FF45B2">
        <w:rPr>
          <w:rFonts w:ascii="Garamond" w:hAnsi="Garamond"/>
        </w:rPr>
        <w:t xml:space="preserve">Job numbers increase throughout October and </w:t>
      </w:r>
      <w:r w:rsidR="00327E6C">
        <w:rPr>
          <w:rFonts w:ascii="Garamond" w:hAnsi="Garamond"/>
        </w:rPr>
        <w:t xml:space="preserve">historically have </w:t>
      </w:r>
      <w:r w:rsidR="00815EE6" w:rsidRPr="00FF45B2">
        <w:rPr>
          <w:rFonts w:ascii="Garamond" w:hAnsi="Garamond"/>
        </w:rPr>
        <w:t>peak</w:t>
      </w:r>
      <w:r w:rsidR="00327E6C">
        <w:rPr>
          <w:rFonts w:ascii="Garamond" w:hAnsi="Garamond"/>
        </w:rPr>
        <w:t>ed</w:t>
      </w:r>
      <w:r w:rsidR="00815EE6" w:rsidRPr="00FF45B2">
        <w:rPr>
          <w:rFonts w:ascii="Garamond" w:hAnsi="Garamond"/>
        </w:rPr>
        <w:t xml:space="preserve"> in</w:t>
      </w:r>
      <w:r w:rsidR="00EB20AB" w:rsidRPr="00FF45B2">
        <w:rPr>
          <w:rFonts w:ascii="Garamond" w:hAnsi="Garamond"/>
        </w:rPr>
        <w:t xml:space="preserve"> November</w:t>
      </w:r>
      <w:r w:rsidR="00112553">
        <w:rPr>
          <w:rFonts w:ascii="Garamond" w:hAnsi="Garamond"/>
        </w:rPr>
        <w:t xml:space="preserve"> although </w:t>
      </w:r>
      <w:r w:rsidR="004B0803">
        <w:rPr>
          <w:rFonts w:ascii="Garamond" w:hAnsi="Garamond"/>
        </w:rPr>
        <w:t xml:space="preserve">mid to late spring has become </w:t>
      </w:r>
      <w:r w:rsidR="00302B7A">
        <w:rPr>
          <w:rFonts w:ascii="Garamond" w:hAnsi="Garamond"/>
        </w:rPr>
        <w:t>the norm</w:t>
      </w:r>
      <w:r w:rsidR="00112553">
        <w:rPr>
          <w:rFonts w:ascii="Garamond" w:hAnsi="Garamond"/>
        </w:rPr>
        <w:t xml:space="preserve"> in recent years</w:t>
      </w:r>
      <w:r w:rsidR="00EB20AB" w:rsidRPr="00FF45B2">
        <w:rPr>
          <w:rFonts w:ascii="Garamond" w:hAnsi="Garamond"/>
        </w:rPr>
        <w:t>.</w:t>
      </w:r>
      <w:r w:rsidR="000851AC" w:rsidRPr="00FF45B2">
        <w:rPr>
          <w:rFonts w:ascii="Garamond" w:hAnsi="Garamond"/>
        </w:rPr>
        <w:t xml:space="preserve"> Therefore</w:t>
      </w:r>
      <w:r w:rsidR="00F02C5A" w:rsidRPr="00FF45B2">
        <w:rPr>
          <w:rFonts w:ascii="Garamond" w:hAnsi="Garamond"/>
        </w:rPr>
        <w:t>, in order to</w:t>
      </w:r>
      <w:r w:rsidR="00815EE6" w:rsidRPr="00FF45B2">
        <w:rPr>
          <w:rFonts w:ascii="Garamond" w:hAnsi="Garamond"/>
        </w:rPr>
        <w:t xml:space="preserve"> identify</w:t>
      </w:r>
      <w:r w:rsidR="00F02C5A" w:rsidRPr="00FF45B2">
        <w:rPr>
          <w:rFonts w:ascii="Garamond" w:hAnsi="Garamond"/>
        </w:rPr>
        <w:t xml:space="preserve"> </w:t>
      </w:r>
      <w:r w:rsidR="00815EE6" w:rsidRPr="00FF45B2">
        <w:rPr>
          <w:rFonts w:ascii="Garamond" w:hAnsi="Garamond"/>
        </w:rPr>
        <w:t xml:space="preserve">long-term </w:t>
      </w:r>
      <w:r w:rsidR="00112553">
        <w:rPr>
          <w:rFonts w:ascii="Garamond" w:hAnsi="Garamond"/>
        </w:rPr>
        <w:t>changes</w:t>
      </w:r>
      <w:r w:rsidR="00F02C5A" w:rsidRPr="00FF45B2">
        <w:rPr>
          <w:rFonts w:ascii="Garamond" w:hAnsi="Garamond"/>
        </w:rPr>
        <w:t xml:space="preserve"> in </w:t>
      </w:r>
      <w:r w:rsidR="00815EE6" w:rsidRPr="00FF45B2">
        <w:rPr>
          <w:rFonts w:ascii="Garamond" w:hAnsi="Garamond"/>
        </w:rPr>
        <w:t>education employment</w:t>
      </w:r>
      <w:r w:rsidR="00F02C5A" w:rsidRPr="00FF45B2">
        <w:rPr>
          <w:rFonts w:ascii="Garamond" w:hAnsi="Garamond"/>
        </w:rPr>
        <w:t>,</w:t>
      </w:r>
      <w:r w:rsidR="000851AC" w:rsidRPr="00FF45B2">
        <w:rPr>
          <w:rFonts w:ascii="Garamond" w:hAnsi="Garamond"/>
        </w:rPr>
        <w:t xml:space="preserve"> </w:t>
      </w:r>
      <w:r w:rsidR="001C04A3">
        <w:rPr>
          <w:rFonts w:ascii="Garamond" w:hAnsi="Garamond"/>
        </w:rPr>
        <w:t>the following section</w:t>
      </w:r>
      <w:r w:rsidR="000851AC" w:rsidRPr="00FF45B2">
        <w:rPr>
          <w:rFonts w:ascii="Garamond" w:hAnsi="Garamond"/>
        </w:rPr>
        <w:t xml:space="preserve"> </w:t>
      </w:r>
      <w:r w:rsidR="00DC15B0">
        <w:rPr>
          <w:rFonts w:ascii="Garamond" w:hAnsi="Garamond"/>
        </w:rPr>
        <w:t>analyze</w:t>
      </w:r>
      <w:r w:rsidR="001C04A3">
        <w:rPr>
          <w:rFonts w:ascii="Garamond" w:hAnsi="Garamond"/>
        </w:rPr>
        <w:t>s</w:t>
      </w:r>
      <w:r w:rsidR="00F02C5A" w:rsidRPr="00FF45B2">
        <w:rPr>
          <w:rFonts w:ascii="Garamond" w:hAnsi="Garamond"/>
        </w:rPr>
        <w:t xml:space="preserve"> </w:t>
      </w:r>
      <w:r w:rsidR="00815EE6" w:rsidRPr="00FF45B2">
        <w:rPr>
          <w:rFonts w:ascii="Garamond" w:hAnsi="Garamond"/>
        </w:rPr>
        <w:t xml:space="preserve">the industry </w:t>
      </w:r>
      <w:r w:rsidR="00DC15B0">
        <w:rPr>
          <w:rFonts w:ascii="Garamond" w:hAnsi="Garamond"/>
        </w:rPr>
        <w:t xml:space="preserve">based on peak </w:t>
      </w:r>
      <w:r w:rsidR="001C04A3">
        <w:rPr>
          <w:rFonts w:ascii="Garamond" w:hAnsi="Garamond"/>
        </w:rPr>
        <w:t>job</w:t>
      </w:r>
      <w:r w:rsidR="00DC15B0">
        <w:rPr>
          <w:rFonts w:ascii="Garamond" w:hAnsi="Garamond"/>
        </w:rPr>
        <w:t xml:space="preserve"> levels</w:t>
      </w:r>
      <w:r w:rsidR="00112553">
        <w:rPr>
          <w:rFonts w:ascii="Garamond" w:hAnsi="Garamond"/>
        </w:rPr>
        <w:t xml:space="preserve"> </w:t>
      </w:r>
      <w:r w:rsidR="00DC15B0">
        <w:rPr>
          <w:rFonts w:ascii="Garamond" w:hAnsi="Garamond"/>
        </w:rPr>
        <w:t>for individual</w:t>
      </w:r>
      <w:r w:rsidR="00112553">
        <w:rPr>
          <w:rFonts w:ascii="Garamond" w:hAnsi="Garamond"/>
        </w:rPr>
        <w:t xml:space="preserve"> school years</w:t>
      </w:r>
      <w:r w:rsidR="000851AC" w:rsidRPr="00FF45B2">
        <w:rPr>
          <w:rFonts w:ascii="Garamond" w:hAnsi="Garamond"/>
        </w:rPr>
        <w:t>.</w:t>
      </w:r>
      <w:r w:rsidR="00EB20AB" w:rsidRPr="00FF45B2">
        <w:rPr>
          <w:rFonts w:ascii="Garamond" w:hAnsi="Garamond"/>
        </w:rPr>
        <w:t xml:space="preserve"> </w:t>
      </w:r>
    </w:p>
    <w:p w:rsidR="00EB20AB" w:rsidRDefault="00EB20AB" w:rsidP="009975DC">
      <w:pPr>
        <w:autoSpaceDE w:val="0"/>
        <w:autoSpaceDN w:val="0"/>
        <w:adjustRightInd w:val="0"/>
        <w:rPr>
          <w:rFonts w:ascii="Garamond" w:hAnsi="Garamond"/>
          <w:b/>
        </w:rPr>
      </w:pPr>
    </w:p>
    <w:p w:rsidR="00C23820" w:rsidRDefault="00C23820" w:rsidP="00C23820">
      <w:pPr>
        <w:autoSpaceDE w:val="0"/>
        <w:autoSpaceDN w:val="0"/>
        <w:adjustRightInd w:val="0"/>
        <w:rPr>
          <w:rFonts w:ascii="Garamond" w:hAnsi="Garamond"/>
          <w:b/>
        </w:rPr>
      </w:pPr>
    </w:p>
    <w:p w:rsidR="00C23820" w:rsidRDefault="00C23820" w:rsidP="00C23820">
      <w:pPr>
        <w:autoSpaceDE w:val="0"/>
        <w:autoSpaceDN w:val="0"/>
        <w:adjustRightInd w:val="0"/>
        <w:rPr>
          <w:rFonts w:ascii="Garamond" w:hAnsi="Garamond"/>
          <w:b/>
        </w:rPr>
      </w:pPr>
    </w:p>
    <w:p w:rsidR="00C23820" w:rsidRDefault="00C23820" w:rsidP="00C23820">
      <w:pPr>
        <w:autoSpaceDE w:val="0"/>
        <w:autoSpaceDN w:val="0"/>
        <w:adjustRightInd w:val="0"/>
        <w:rPr>
          <w:rFonts w:ascii="Garamond" w:hAnsi="Garamond"/>
          <w:b/>
        </w:rPr>
      </w:pPr>
    </w:p>
    <w:p w:rsidR="00C23820" w:rsidRDefault="00C23820" w:rsidP="00C23820">
      <w:pPr>
        <w:autoSpaceDE w:val="0"/>
        <w:autoSpaceDN w:val="0"/>
        <w:adjustRightInd w:val="0"/>
        <w:rPr>
          <w:rFonts w:ascii="Garamond" w:hAnsi="Garamond"/>
          <w:b/>
        </w:rPr>
      </w:pPr>
    </w:p>
    <w:p w:rsidR="00C23820" w:rsidRDefault="00C23820" w:rsidP="00C23820">
      <w:pPr>
        <w:autoSpaceDE w:val="0"/>
        <w:autoSpaceDN w:val="0"/>
        <w:adjustRightInd w:val="0"/>
        <w:rPr>
          <w:rFonts w:ascii="Garamond" w:hAnsi="Garamond"/>
          <w:b/>
        </w:rPr>
      </w:pPr>
    </w:p>
    <w:p w:rsidR="00C23820" w:rsidRDefault="00C23820" w:rsidP="00C23820">
      <w:pPr>
        <w:autoSpaceDE w:val="0"/>
        <w:autoSpaceDN w:val="0"/>
        <w:adjustRightInd w:val="0"/>
        <w:rPr>
          <w:rFonts w:ascii="Garamond" w:hAnsi="Garamond"/>
          <w:b/>
        </w:rPr>
      </w:pPr>
    </w:p>
    <w:p w:rsidR="00C23820" w:rsidRDefault="00C23820" w:rsidP="00C23820">
      <w:pPr>
        <w:autoSpaceDE w:val="0"/>
        <w:autoSpaceDN w:val="0"/>
        <w:adjustRightInd w:val="0"/>
        <w:rPr>
          <w:rFonts w:ascii="Garamond" w:hAnsi="Garamond"/>
          <w:b/>
        </w:rPr>
      </w:pPr>
    </w:p>
    <w:p w:rsidR="00C23820" w:rsidRDefault="00C23820" w:rsidP="00C23820">
      <w:pPr>
        <w:autoSpaceDE w:val="0"/>
        <w:autoSpaceDN w:val="0"/>
        <w:adjustRightInd w:val="0"/>
        <w:rPr>
          <w:rFonts w:ascii="Garamond" w:hAnsi="Garamond"/>
          <w:b/>
        </w:rPr>
      </w:pPr>
    </w:p>
    <w:p w:rsidR="00730DA2" w:rsidRDefault="00730DA2" w:rsidP="00C23820">
      <w:pPr>
        <w:autoSpaceDE w:val="0"/>
        <w:autoSpaceDN w:val="0"/>
        <w:adjustRightInd w:val="0"/>
        <w:rPr>
          <w:rFonts w:ascii="Garamond" w:hAnsi="Garamond"/>
          <w:b/>
          <w:szCs w:val="24"/>
          <w:u w:val="single"/>
        </w:rPr>
      </w:pPr>
    </w:p>
    <w:p w:rsidR="00730DA2" w:rsidRDefault="00730DA2" w:rsidP="00C23820">
      <w:pPr>
        <w:autoSpaceDE w:val="0"/>
        <w:autoSpaceDN w:val="0"/>
        <w:adjustRightInd w:val="0"/>
        <w:rPr>
          <w:rFonts w:ascii="Garamond" w:hAnsi="Garamond"/>
          <w:b/>
          <w:szCs w:val="24"/>
          <w:u w:val="single"/>
        </w:rPr>
      </w:pPr>
    </w:p>
    <w:p w:rsidR="00C23820" w:rsidRPr="00874DE2" w:rsidRDefault="00C23820" w:rsidP="00C23820">
      <w:pPr>
        <w:autoSpaceDE w:val="0"/>
        <w:autoSpaceDN w:val="0"/>
        <w:adjustRightInd w:val="0"/>
        <w:rPr>
          <w:rFonts w:ascii="Garamond" w:hAnsi="Garamond"/>
          <w:b/>
          <w:szCs w:val="24"/>
          <w:u w:val="single"/>
        </w:rPr>
      </w:pPr>
      <w:r w:rsidRPr="00874DE2">
        <w:rPr>
          <w:rFonts w:ascii="Garamond" w:hAnsi="Garamond"/>
          <w:b/>
          <w:szCs w:val="24"/>
          <w:u w:val="single"/>
        </w:rPr>
        <w:lastRenderedPageBreak/>
        <w:t>Recent Trends in Local Government Educational Services Employment</w:t>
      </w:r>
    </w:p>
    <w:p w:rsidR="00C23820" w:rsidRPr="00FF45B2" w:rsidRDefault="00C23820" w:rsidP="00C23820">
      <w:pPr>
        <w:autoSpaceDE w:val="0"/>
        <w:autoSpaceDN w:val="0"/>
        <w:adjustRightInd w:val="0"/>
        <w:rPr>
          <w:rFonts w:ascii="Garamond" w:hAnsi="Garamond"/>
        </w:rPr>
      </w:pPr>
    </w:p>
    <w:p w:rsidR="00C23820" w:rsidRPr="00FF45B2" w:rsidRDefault="00A1228F" w:rsidP="00C23820">
      <w:pPr>
        <w:autoSpaceDE w:val="0"/>
        <w:autoSpaceDN w:val="0"/>
        <w:adjustRightInd w:val="0"/>
        <w:rPr>
          <w:rFonts w:ascii="Garamond" w:hAnsi="Garamond"/>
        </w:rPr>
      </w:pPr>
      <w:r>
        <w:rPr>
          <w:rFonts w:ascii="Garamond" w:hAnsi="Garamond"/>
        </w:rPr>
        <w:t>As mentioned, local government educational services is the largest subset o</w:t>
      </w:r>
      <w:r w:rsidR="00302B7A">
        <w:rPr>
          <w:rFonts w:ascii="Garamond" w:hAnsi="Garamond"/>
        </w:rPr>
        <w:t>f education-related employment and</w:t>
      </w:r>
      <w:r>
        <w:rPr>
          <w:rFonts w:ascii="Garamond" w:hAnsi="Garamond"/>
        </w:rPr>
        <w:t xml:space="preserve"> includes teachers, administrators, and support staff. </w:t>
      </w:r>
      <w:r w:rsidR="00C23820" w:rsidRPr="00FF45B2">
        <w:rPr>
          <w:rFonts w:ascii="Garamond" w:hAnsi="Garamond"/>
        </w:rPr>
        <w:t xml:space="preserve">In 2011 Texas lawmakers cut education spending by </w:t>
      </w:r>
      <w:r w:rsidR="00C23820">
        <w:rPr>
          <w:rFonts w:ascii="Garamond" w:hAnsi="Garamond"/>
        </w:rPr>
        <w:t>roughly $</w:t>
      </w:r>
      <w:r w:rsidR="001C04A3">
        <w:rPr>
          <w:rFonts w:ascii="Garamond" w:hAnsi="Garamond"/>
        </w:rPr>
        <w:t>5</w:t>
      </w:r>
      <w:r w:rsidR="00F97FA6">
        <w:rPr>
          <w:rFonts w:ascii="Garamond" w:hAnsi="Garamond"/>
        </w:rPr>
        <w:t>.4</w:t>
      </w:r>
      <w:r w:rsidR="00C23820" w:rsidRPr="00FF45B2">
        <w:rPr>
          <w:rFonts w:ascii="Garamond" w:hAnsi="Garamond"/>
        </w:rPr>
        <w:t xml:space="preserve"> billion</w:t>
      </w:r>
      <w:r w:rsidR="00C23820">
        <w:rPr>
          <w:rFonts w:ascii="Garamond" w:hAnsi="Garamond"/>
        </w:rPr>
        <w:t xml:space="preserve"> prior to</w:t>
      </w:r>
      <w:r w:rsidR="00C23820" w:rsidRPr="00FF45B2">
        <w:rPr>
          <w:rFonts w:ascii="Garamond" w:hAnsi="Garamond"/>
        </w:rPr>
        <w:t xml:space="preserve"> the start of the 2011-2012 school year. The impact of these budget cuts was immediately felt at the local level as evidenced by an 8,200-job decline from November of the previous school year. </w:t>
      </w:r>
      <w:r w:rsidR="00874DE2">
        <w:rPr>
          <w:rFonts w:ascii="Garamond" w:hAnsi="Garamond"/>
        </w:rPr>
        <w:t xml:space="preserve">This was followed in </w:t>
      </w:r>
      <w:r w:rsidR="00874DE2" w:rsidRPr="00FF45B2">
        <w:rPr>
          <w:rFonts w:ascii="Garamond" w:hAnsi="Garamond"/>
        </w:rPr>
        <w:t>2012-2013</w:t>
      </w:r>
      <w:r w:rsidR="00874DE2">
        <w:rPr>
          <w:rFonts w:ascii="Garamond" w:hAnsi="Garamond"/>
        </w:rPr>
        <w:t xml:space="preserve"> by </w:t>
      </w:r>
      <w:r w:rsidR="00874DE2" w:rsidRPr="00FF45B2">
        <w:rPr>
          <w:rFonts w:ascii="Garamond" w:hAnsi="Garamond"/>
        </w:rPr>
        <w:t xml:space="preserve">small </w:t>
      </w:r>
      <w:r w:rsidR="00874DE2">
        <w:rPr>
          <w:rFonts w:ascii="Garamond" w:hAnsi="Garamond"/>
        </w:rPr>
        <w:t xml:space="preserve">rebound </w:t>
      </w:r>
      <w:r w:rsidR="00874DE2" w:rsidRPr="00FF45B2">
        <w:rPr>
          <w:rFonts w:ascii="Garamond" w:hAnsi="Garamond"/>
        </w:rPr>
        <w:t>of</w:t>
      </w:r>
      <w:r w:rsidR="00874DE2">
        <w:rPr>
          <w:rFonts w:ascii="Garamond" w:hAnsi="Garamond"/>
        </w:rPr>
        <w:t xml:space="preserve"> 4</w:t>
      </w:r>
      <w:r w:rsidR="00874DE2" w:rsidRPr="00FF45B2">
        <w:rPr>
          <w:rFonts w:ascii="Garamond" w:hAnsi="Garamond"/>
        </w:rPr>
        <w:t>00 jobs</w:t>
      </w:r>
      <w:r w:rsidR="00874DE2">
        <w:rPr>
          <w:rFonts w:ascii="Garamond" w:hAnsi="Garamond"/>
        </w:rPr>
        <w:t xml:space="preserve"> over the previous year’s peak.</w:t>
      </w:r>
      <w:r w:rsidR="00C23820" w:rsidRPr="00FF45B2">
        <w:rPr>
          <w:rFonts w:ascii="Garamond" w:hAnsi="Garamond"/>
        </w:rPr>
        <w:t xml:space="preserve"> </w:t>
      </w:r>
      <w:r w:rsidR="00C23820">
        <w:rPr>
          <w:rFonts w:ascii="Garamond" w:hAnsi="Garamond"/>
        </w:rPr>
        <w:t xml:space="preserve">In May 2013 the Texas Legislature </w:t>
      </w:r>
      <w:r w:rsidR="00C23820" w:rsidRPr="00FF45B2">
        <w:rPr>
          <w:rFonts w:ascii="Garamond" w:hAnsi="Garamond"/>
        </w:rPr>
        <w:t>restored</w:t>
      </w:r>
      <w:r w:rsidR="00C23820">
        <w:rPr>
          <w:rFonts w:ascii="Garamond" w:hAnsi="Garamond"/>
        </w:rPr>
        <w:t xml:space="preserve"> $3.4 billion in</w:t>
      </w:r>
      <w:r w:rsidR="00C23820" w:rsidRPr="00FF45B2">
        <w:rPr>
          <w:rFonts w:ascii="Garamond" w:hAnsi="Garamond"/>
        </w:rPr>
        <w:t xml:space="preserve"> </w:t>
      </w:r>
      <w:r w:rsidR="00C23820">
        <w:rPr>
          <w:rFonts w:ascii="Garamond" w:hAnsi="Garamond"/>
        </w:rPr>
        <w:t>education spending over the upcoming two-year budget cycle. As a</w:t>
      </w:r>
      <w:r w:rsidR="00C23820" w:rsidRPr="00FF45B2">
        <w:rPr>
          <w:rFonts w:ascii="Garamond" w:hAnsi="Garamond"/>
        </w:rPr>
        <w:t xml:space="preserve"> result the 2013-2014 </w:t>
      </w:r>
      <w:r w:rsidR="00C23820">
        <w:rPr>
          <w:rFonts w:ascii="Garamond" w:hAnsi="Garamond"/>
        </w:rPr>
        <w:t xml:space="preserve">and 2014-2015 </w:t>
      </w:r>
      <w:r w:rsidR="00C23820" w:rsidRPr="00FF45B2">
        <w:rPr>
          <w:rFonts w:ascii="Garamond" w:hAnsi="Garamond"/>
        </w:rPr>
        <w:t>school year</w:t>
      </w:r>
      <w:r w:rsidR="00C23820">
        <w:rPr>
          <w:rFonts w:ascii="Garamond" w:hAnsi="Garamond"/>
        </w:rPr>
        <w:t>s</w:t>
      </w:r>
      <w:r w:rsidR="00C23820" w:rsidRPr="00FF45B2">
        <w:rPr>
          <w:rFonts w:ascii="Garamond" w:hAnsi="Garamond"/>
        </w:rPr>
        <w:t xml:space="preserve"> saw payrol</w:t>
      </w:r>
      <w:r w:rsidR="00C23820">
        <w:rPr>
          <w:rFonts w:ascii="Garamond" w:hAnsi="Garamond"/>
        </w:rPr>
        <w:t>ls rise by 4,7</w:t>
      </w:r>
      <w:r w:rsidR="00C23820" w:rsidRPr="00FF45B2">
        <w:rPr>
          <w:rFonts w:ascii="Garamond" w:hAnsi="Garamond"/>
        </w:rPr>
        <w:t>00</w:t>
      </w:r>
      <w:r w:rsidR="00C23820">
        <w:rPr>
          <w:rFonts w:ascii="Garamond" w:hAnsi="Garamond"/>
        </w:rPr>
        <w:t xml:space="preserve"> and 5,000, respectively. These job gains boosted total local education staffing levels to a</w:t>
      </w:r>
      <w:r w:rsidR="001C04A3">
        <w:rPr>
          <w:rFonts w:ascii="Garamond" w:hAnsi="Garamond"/>
        </w:rPr>
        <w:t xml:space="preserve"> new all-time</w:t>
      </w:r>
      <w:r w:rsidR="00C23820">
        <w:rPr>
          <w:rFonts w:ascii="Garamond" w:hAnsi="Garamond"/>
        </w:rPr>
        <w:t xml:space="preserve"> high of 200,100</w:t>
      </w:r>
      <w:r w:rsidR="009B7486">
        <w:rPr>
          <w:rFonts w:ascii="Garamond" w:hAnsi="Garamond"/>
        </w:rPr>
        <w:t xml:space="preserve"> in April 2015</w:t>
      </w:r>
      <w:r w:rsidR="00C23820">
        <w:rPr>
          <w:rFonts w:ascii="Garamond" w:hAnsi="Garamond"/>
        </w:rPr>
        <w:t xml:space="preserve">, </w:t>
      </w:r>
      <w:r w:rsidR="001C04A3">
        <w:rPr>
          <w:rFonts w:ascii="Garamond" w:hAnsi="Garamond"/>
        </w:rPr>
        <w:t>slightly</w:t>
      </w:r>
      <w:r w:rsidR="00874DE2">
        <w:rPr>
          <w:rFonts w:ascii="Garamond" w:hAnsi="Garamond"/>
        </w:rPr>
        <w:t xml:space="preserve"> surpassing</w:t>
      </w:r>
      <w:r w:rsidR="00C23820">
        <w:rPr>
          <w:rFonts w:ascii="Garamond" w:hAnsi="Garamond"/>
        </w:rPr>
        <w:t xml:space="preserve"> the previous high of 198,200 seen back in November 2010.</w:t>
      </w:r>
      <w:r w:rsidR="00137ED4">
        <w:rPr>
          <w:rStyle w:val="FootnoteReference"/>
          <w:rFonts w:ascii="Garamond" w:hAnsi="Garamond"/>
        </w:rPr>
        <w:footnoteReference w:id="2"/>
      </w:r>
      <w:r w:rsidR="00C23820">
        <w:rPr>
          <w:rFonts w:ascii="Garamond" w:hAnsi="Garamond"/>
        </w:rPr>
        <w:t xml:space="preserve"> </w:t>
      </w:r>
      <w:r w:rsidR="00F66F61">
        <w:rPr>
          <w:rFonts w:ascii="Garamond" w:hAnsi="Garamond"/>
        </w:rPr>
        <w:t>(See Chart 3.)</w:t>
      </w:r>
      <w:r w:rsidR="00C23820">
        <w:rPr>
          <w:rFonts w:ascii="Garamond" w:hAnsi="Garamond"/>
        </w:rPr>
        <w:t xml:space="preserve"> </w:t>
      </w:r>
      <w:r w:rsidR="00C23820" w:rsidRPr="00FF45B2">
        <w:rPr>
          <w:rFonts w:ascii="Garamond" w:hAnsi="Garamond"/>
        </w:rPr>
        <w:t xml:space="preserve">    </w:t>
      </w:r>
    </w:p>
    <w:p w:rsidR="00C23820" w:rsidRDefault="00C23820" w:rsidP="009975DC">
      <w:pPr>
        <w:autoSpaceDE w:val="0"/>
        <w:autoSpaceDN w:val="0"/>
        <w:adjustRightInd w:val="0"/>
        <w:rPr>
          <w:rFonts w:ascii="Garamond" w:hAnsi="Garamond"/>
          <w:b/>
        </w:rPr>
      </w:pPr>
    </w:p>
    <w:p w:rsidR="004B0803" w:rsidRDefault="009B7486" w:rsidP="00A15B87">
      <w:pPr>
        <w:autoSpaceDE w:val="0"/>
        <w:autoSpaceDN w:val="0"/>
        <w:adjustRightInd w:val="0"/>
        <w:jc w:val="center"/>
        <w:rPr>
          <w:rFonts w:ascii="Garamond" w:hAnsi="Garamond"/>
          <w:b/>
        </w:rPr>
      </w:pPr>
      <w:r w:rsidRPr="009B7486">
        <w:rPr>
          <w:noProof/>
        </w:rPr>
        <w:drawing>
          <wp:inline distT="0" distB="0" distL="0" distR="0">
            <wp:extent cx="5504688" cy="3399552"/>
            <wp:effectExtent l="19050" t="0" r="762"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5504688" cy="3399552"/>
                    </a:xfrm>
                    <a:prstGeom prst="rect">
                      <a:avLst/>
                    </a:prstGeom>
                    <a:noFill/>
                    <a:ln w="9525">
                      <a:noFill/>
                      <a:miter lim="800000"/>
                      <a:headEnd/>
                      <a:tailEnd/>
                    </a:ln>
                  </pic:spPr>
                </pic:pic>
              </a:graphicData>
            </a:graphic>
          </wp:inline>
        </w:drawing>
      </w:r>
    </w:p>
    <w:p w:rsidR="00C42446" w:rsidRPr="00FF45B2" w:rsidRDefault="00876414" w:rsidP="009975DC">
      <w:pPr>
        <w:autoSpaceDE w:val="0"/>
        <w:autoSpaceDN w:val="0"/>
        <w:adjustRightInd w:val="0"/>
        <w:rPr>
          <w:rFonts w:ascii="Garamond" w:hAnsi="Garamond"/>
          <w:b/>
        </w:rPr>
      </w:pPr>
      <w:r w:rsidRPr="00876414">
        <w:rPr>
          <w:noProof/>
        </w:rPr>
        <w:drawing>
          <wp:inline distT="0" distB="0" distL="0" distR="0">
            <wp:extent cx="5486400" cy="1273276"/>
            <wp:effectExtent l="19050" t="0" r="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5486400" cy="1273276"/>
                    </a:xfrm>
                    <a:prstGeom prst="rect">
                      <a:avLst/>
                    </a:prstGeom>
                    <a:noFill/>
                    <a:ln w="9525">
                      <a:noFill/>
                      <a:miter lim="800000"/>
                      <a:headEnd/>
                      <a:tailEnd/>
                    </a:ln>
                  </pic:spPr>
                </pic:pic>
              </a:graphicData>
            </a:graphic>
          </wp:inline>
        </w:drawing>
      </w:r>
    </w:p>
    <w:p w:rsidR="00DC15B0" w:rsidRDefault="00DC15B0" w:rsidP="009975DC">
      <w:pPr>
        <w:autoSpaceDE w:val="0"/>
        <w:autoSpaceDN w:val="0"/>
        <w:adjustRightInd w:val="0"/>
        <w:rPr>
          <w:rFonts w:ascii="Garamond" w:hAnsi="Garamond"/>
          <w:b/>
        </w:rPr>
      </w:pPr>
    </w:p>
    <w:p w:rsidR="00A1228F" w:rsidRDefault="00A1228F" w:rsidP="009975DC">
      <w:pPr>
        <w:autoSpaceDE w:val="0"/>
        <w:autoSpaceDN w:val="0"/>
        <w:adjustRightInd w:val="0"/>
        <w:rPr>
          <w:rFonts w:ascii="Garamond" w:hAnsi="Garamond"/>
          <w:b/>
        </w:rPr>
      </w:pPr>
    </w:p>
    <w:p w:rsidR="00730DA2" w:rsidRDefault="00730DA2" w:rsidP="009975DC">
      <w:pPr>
        <w:autoSpaceDE w:val="0"/>
        <w:autoSpaceDN w:val="0"/>
        <w:adjustRightInd w:val="0"/>
        <w:rPr>
          <w:rFonts w:ascii="Garamond" w:hAnsi="Garamond"/>
          <w:b/>
        </w:rPr>
      </w:pPr>
    </w:p>
    <w:p w:rsidR="00730DA2" w:rsidRDefault="00730DA2" w:rsidP="009975DC">
      <w:pPr>
        <w:autoSpaceDE w:val="0"/>
        <w:autoSpaceDN w:val="0"/>
        <w:adjustRightInd w:val="0"/>
        <w:rPr>
          <w:rFonts w:ascii="Garamond" w:hAnsi="Garamond"/>
          <w:b/>
          <w:szCs w:val="24"/>
          <w:u w:val="single"/>
        </w:rPr>
      </w:pPr>
    </w:p>
    <w:p w:rsidR="00D12158" w:rsidRPr="00874DE2" w:rsidRDefault="003D4D49" w:rsidP="009975DC">
      <w:pPr>
        <w:autoSpaceDE w:val="0"/>
        <w:autoSpaceDN w:val="0"/>
        <w:adjustRightInd w:val="0"/>
        <w:rPr>
          <w:rFonts w:ascii="Garamond" w:hAnsi="Garamond"/>
          <w:b/>
          <w:szCs w:val="24"/>
          <w:u w:val="single"/>
        </w:rPr>
      </w:pPr>
      <w:r w:rsidRPr="00874DE2">
        <w:rPr>
          <w:rFonts w:ascii="Garamond" w:hAnsi="Garamond"/>
          <w:b/>
          <w:szCs w:val="24"/>
          <w:u w:val="single"/>
        </w:rPr>
        <w:lastRenderedPageBreak/>
        <w:t xml:space="preserve">Teacher </w:t>
      </w:r>
      <w:r w:rsidR="00A9372A" w:rsidRPr="00874DE2">
        <w:rPr>
          <w:rFonts w:ascii="Garamond" w:hAnsi="Garamond"/>
          <w:b/>
          <w:szCs w:val="24"/>
          <w:u w:val="single"/>
        </w:rPr>
        <w:t>Short</w:t>
      </w:r>
      <w:r w:rsidR="002862AA" w:rsidRPr="00874DE2">
        <w:rPr>
          <w:rFonts w:ascii="Garamond" w:hAnsi="Garamond"/>
          <w:b/>
          <w:szCs w:val="24"/>
          <w:u w:val="single"/>
        </w:rPr>
        <w:t>ages</w:t>
      </w:r>
      <w:r w:rsidR="00977B3F" w:rsidRPr="00874DE2">
        <w:rPr>
          <w:rFonts w:ascii="Garamond" w:hAnsi="Garamond"/>
          <w:b/>
          <w:szCs w:val="24"/>
          <w:u w:val="single"/>
        </w:rPr>
        <w:t xml:space="preserve"> </w:t>
      </w:r>
      <w:r w:rsidR="002862AA" w:rsidRPr="00874DE2">
        <w:rPr>
          <w:rFonts w:ascii="Garamond" w:hAnsi="Garamond"/>
          <w:b/>
          <w:szCs w:val="24"/>
          <w:u w:val="single"/>
        </w:rPr>
        <w:t>Post Recession &amp; Budget Cuts</w:t>
      </w:r>
    </w:p>
    <w:p w:rsidR="005F08C4" w:rsidRDefault="005F08C4" w:rsidP="009975DC">
      <w:pPr>
        <w:autoSpaceDE w:val="0"/>
        <w:autoSpaceDN w:val="0"/>
        <w:adjustRightInd w:val="0"/>
        <w:rPr>
          <w:rFonts w:ascii="Garamond" w:hAnsi="Garamond"/>
        </w:rPr>
      </w:pPr>
    </w:p>
    <w:p w:rsidR="009741ED" w:rsidRDefault="00D56876" w:rsidP="009975DC">
      <w:pPr>
        <w:autoSpaceDE w:val="0"/>
        <w:autoSpaceDN w:val="0"/>
        <w:adjustRightInd w:val="0"/>
        <w:rPr>
          <w:rFonts w:ascii="Garamond" w:hAnsi="Garamond"/>
        </w:rPr>
      </w:pPr>
      <w:r>
        <w:rPr>
          <w:rFonts w:ascii="Garamond" w:hAnsi="Garamond"/>
        </w:rPr>
        <w:t xml:space="preserve">The period from 2007 to present is significant in that it includes the Great Recession, which </w:t>
      </w:r>
      <w:r w:rsidR="005C6E56">
        <w:rPr>
          <w:rFonts w:ascii="Garamond" w:hAnsi="Garamond"/>
        </w:rPr>
        <w:t xml:space="preserve">impacted the </w:t>
      </w:r>
      <w:r>
        <w:rPr>
          <w:rFonts w:ascii="Garamond" w:hAnsi="Garamond"/>
        </w:rPr>
        <w:t>Gulf Coast</w:t>
      </w:r>
      <w:r w:rsidR="005C6E56">
        <w:rPr>
          <w:rFonts w:ascii="Garamond" w:hAnsi="Garamond"/>
        </w:rPr>
        <w:t xml:space="preserve"> later</w:t>
      </w:r>
      <w:r w:rsidR="008B7CCF">
        <w:rPr>
          <w:rFonts w:ascii="Garamond" w:hAnsi="Garamond"/>
        </w:rPr>
        <w:t xml:space="preserve"> </w:t>
      </w:r>
      <w:r w:rsidR="005C6E56">
        <w:rPr>
          <w:rFonts w:ascii="Garamond" w:hAnsi="Garamond"/>
        </w:rPr>
        <w:t>than</w:t>
      </w:r>
      <w:r w:rsidR="008B7CCF">
        <w:rPr>
          <w:rFonts w:ascii="Garamond" w:hAnsi="Garamond"/>
        </w:rPr>
        <w:t xml:space="preserve"> the U.S.</w:t>
      </w:r>
      <w:r>
        <w:rPr>
          <w:rFonts w:ascii="Garamond" w:hAnsi="Garamond"/>
        </w:rPr>
        <w:t xml:space="preserve">, and </w:t>
      </w:r>
      <w:r w:rsidR="00874DE2">
        <w:rPr>
          <w:rFonts w:ascii="Garamond" w:hAnsi="Garamond"/>
        </w:rPr>
        <w:t>its</w:t>
      </w:r>
      <w:r>
        <w:rPr>
          <w:rFonts w:ascii="Garamond" w:hAnsi="Garamond"/>
        </w:rPr>
        <w:t xml:space="preserve"> after</w:t>
      </w:r>
      <w:r w:rsidR="008B7CCF">
        <w:rPr>
          <w:rFonts w:ascii="Garamond" w:hAnsi="Garamond"/>
        </w:rPr>
        <w:t>-</w:t>
      </w:r>
      <w:r>
        <w:rPr>
          <w:rFonts w:ascii="Garamond" w:hAnsi="Garamond"/>
        </w:rPr>
        <w:t xml:space="preserve">effects on local </w:t>
      </w:r>
      <w:r w:rsidR="008F4D8E">
        <w:rPr>
          <w:rFonts w:ascii="Garamond" w:hAnsi="Garamond"/>
        </w:rPr>
        <w:t>education</w:t>
      </w:r>
      <w:r>
        <w:rPr>
          <w:rFonts w:ascii="Garamond" w:hAnsi="Garamond"/>
        </w:rPr>
        <w:t>, particularly with regard to teachers</w:t>
      </w:r>
      <w:r w:rsidR="008F4D8E">
        <w:rPr>
          <w:rFonts w:ascii="Garamond" w:hAnsi="Garamond"/>
        </w:rPr>
        <w:t>.</w:t>
      </w:r>
      <w:r w:rsidR="00F97FA6">
        <w:rPr>
          <w:rFonts w:ascii="Garamond" w:hAnsi="Garamond"/>
        </w:rPr>
        <w:t xml:space="preserve"> </w:t>
      </w:r>
      <w:r>
        <w:rPr>
          <w:rFonts w:ascii="Garamond" w:hAnsi="Garamond"/>
        </w:rPr>
        <w:t>Over the 2007</w:t>
      </w:r>
      <w:r w:rsidR="009B7486">
        <w:rPr>
          <w:rFonts w:ascii="Garamond" w:hAnsi="Garamond"/>
        </w:rPr>
        <w:t>-</w:t>
      </w:r>
      <w:r>
        <w:rPr>
          <w:rFonts w:ascii="Garamond" w:hAnsi="Garamond"/>
        </w:rPr>
        <w:t>2008</w:t>
      </w:r>
      <w:r w:rsidR="00A1228F">
        <w:rPr>
          <w:rFonts w:ascii="Garamond" w:hAnsi="Garamond"/>
        </w:rPr>
        <w:t xml:space="preserve"> to</w:t>
      </w:r>
      <w:r w:rsidR="00483CDB">
        <w:rPr>
          <w:rFonts w:ascii="Garamond" w:hAnsi="Garamond"/>
        </w:rPr>
        <w:t xml:space="preserve"> 2013-2014</w:t>
      </w:r>
      <w:r>
        <w:rPr>
          <w:rFonts w:ascii="Garamond" w:hAnsi="Garamond"/>
        </w:rPr>
        <w:t xml:space="preserve"> school years</w:t>
      </w:r>
      <w:r w:rsidR="00483CDB">
        <w:rPr>
          <w:rFonts w:ascii="Garamond" w:hAnsi="Garamond"/>
        </w:rPr>
        <w:t xml:space="preserve">, </w:t>
      </w:r>
      <w:r w:rsidR="005F08C4">
        <w:rPr>
          <w:rFonts w:ascii="Garamond" w:hAnsi="Garamond"/>
        </w:rPr>
        <w:t xml:space="preserve">the </w:t>
      </w:r>
      <w:r w:rsidR="00AE005F">
        <w:rPr>
          <w:rFonts w:ascii="Garamond" w:hAnsi="Garamond"/>
        </w:rPr>
        <w:t xml:space="preserve">number of </w:t>
      </w:r>
      <w:r w:rsidR="008B7CCF">
        <w:rPr>
          <w:rFonts w:ascii="Garamond" w:hAnsi="Garamond"/>
        </w:rPr>
        <w:t>teacher</w:t>
      </w:r>
      <w:r w:rsidR="00AE005F">
        <w:rPr>
          <w:rFonts w:ascii="Garamond" w:hAnsi="Garamond"/>
        </w:rPr>
        <w:t xml:space="preserve">s in the </w:t>
      </w:r>
      <w:r>
        <w:rPr>
          <w:rFonts w:ascii="Garamond" w:hAnsi="Garamond"/>
        </w:rPr>
        <w:t>Gulf Coast region</w:t>
      </w:r>
      <w:r w:rsidR="00AE005F">
        <w:rPr>
          <w:rFonts w:ascii="Garamond" w:hAnsi="Garamond"/>
        </w:rPr>
        <w:t xml:space="preserve"> </w:t>
      </w:r>
      <w:r w:rsidR="00A1228F">
        <w:rPr>
          <w:rFonts w:ascii="Garamond" w:hAnsi="Garamond"/>
        </w:rPr>
        <w:t>rose</w:t>
      </w:r>
      <w:r w:rsidR="00AE005F">
        <w:rPr>
          <w:rFonts w:ascii="Garamond" w:hAnsi="Garamond"/>
        </w:rPr>
        <w:t xml:space="preserve"> by </w:t>
      </w:r>
      <w:r w:rsidR="008B7CCF">
        <w:rPr>
          <w:rFonts w:ascii="Garamond" w:hAnsi="Garamond"/>
        </w:rPr>
        <w:t>1,558</w:t>
      </w:r>
      <w:r w:rsidR="005F08C4">
        <w:rPr>
          <w:rFonts w:ascii="Garamond" w:hAnsi="Garamond"/>
        </w:rPr>
        <w:t xml:space="preserve">, or </w:t>
      </w:r>
      <w:r w:rsidR="008B7CCF">
        <w:rPr>
          <w:rFonts w:ascii="Garamond" w:hAnsi="Garamond"/>
        </w:rPr>
        <w:t>2.1</w:t>
      </w:r>
      <w:r w:rsidR="005F08C4">
        <w:rPr>
          <w:rFonts w:ascii="Garamond" w:hAnsi="Garamond"/>
        </w:rPr>
        <w:t>%.</w:t>
      </w:r>
      <w:r w:rsidR="008B7CCF">
        <w:rPr>
          <w:rFonts w:ascii="Garamond" w:hAnsi="Garamond"/>
        </w:rPr>
        <w:t xml:space="preserve"> </w:t>
      </w:r>
      <w:r w:rsidR="00874DE2">
        <w:rPr>
          <w:rFonts w:ascii="Garamond" w:hAnsi="Garamond"/>
        </w:rPr>
        <w:t>At the same time the s</w:t>
      </w:r>
      <w:r w:rsidR="00B5622C">
        <w:rPr>
          <w:rFonts w:ascii="Garamond" w:hAnsi="Garamond"/>
        </w:rPr>
        <w:t>tudent population</w:t>
      </w:r>
      <w:r w:rsidR="008B7CCF">
        <w:rPr>
          <w:rFonts w:ascii="Garamond" w:hAnsi="Garamond"/>
        </w:rPr>
        <w:t xml:space="preserve"> increased by 109,278 for a faster rate of growth of 9.8%. Throughout this seven-year period students </w:t>
      </w:r>
      <w:r w:rsidR="0080679F">
        <w:rPr>
          <w:rFonts w:ascii="Garamond" w:hAnsi="Garamond"/>
        </w:rPr>
        <w:t>saw</w:t>
      </w:r>
      <w:r w:rsidR="008B7CCF">
        <w:rPr>
          <w:rFonts w:ascii="Garamond" w:hAnsi="Garamond"/>
        </w:rPr>
        <w:t xml:space="preserve"> uninterrupted growth </w:t>
      </w:r>
      <w:r w:rsidR="0080679F">
        <w:rPr>
          <w:rFonts w:ascii="Garamond" w:hAnsi="Garamond"/>
        </w:rPr>
        <w:t xml:space="preserve">year-over-year and </w:t>
      </w:r>
      <w:r w:rsidR="005C6E56">
        <w:rPr>
          <w:rFonts w:ascii="Garamond" w:hAnsi="Garamond"/>
        </w:rPr>
        <w:t>have</w:t>
      </w:r>
      <w:r w:rsidR="00B5622C">
        <w:rPr>
          <w:rFonts w:ascii="Garamond" w:hAnsi="Garamond"/>
        </w:rPr>
        <w:t xml:space="preserve"> likely</w:t>
      </w:r>
      <w:r w:rsidR="005C6E56">
        <w:rPr>
          <w:rFonts w:ascii="Garamond" w:hAnsi="Garamond"/>
        </w:rPr>
        <w:t xml:space="preserve"> never</w:t>
      </w:r>
      <w:r w:rsidR="0080679F">
        <w:rPr>
          <w:rFonts w:ascii="Garamond" w:hAnsi="Garamond"/>
        </w:rPr>
        <w:t xml:space="preserve"> experienced declines. In contrast, teachers in the Gulf Coast experienced their first-ever recorded job losses in 2010-2011 followed by a more dramatic loss</w:t>
      </w:r>
      <w:r w:rsidR="007B5B10">
        <w:rPr>
          <w:rFonts w:ascii="Garamond" w:hAnsi="Garamond"/>
        </w:rPr>
        <w:t xml:space="preserve"> </w:t>
      </w:r>
      <w:r w:rsidR="0080679F">
        <w:rPr>
          <w:rFonts w:ascii="Garamond" w:hAnsi="Garamond"/>
        </w:rPr>
        <w:t>in 2011-2012</w:t>
      </w:r>
      <w:r w:rsidR="00E202CC">
        <w:rPr>
          <w:rFonts w:ascii="Garamond" w:hAnsi="Garamond"/>
        </w:rPr>
        <w:t xml:space="preserve"> for cumulative decline of 4,565</w:t>
      </w:r>
      <w:r w:rsidR="007B5B10">
        <w:rPr>
          <w:rFonts w:ascii="Garamond" w:hAnsi="Garamond"/>
        </w:rPr>
        <w:t xml:space="preserve"> jobs</w:t>
      </w:r>
      <w:r w:rsidR="00E202CC">
        <w:rPr>
          <w:rFonts w:ascii="Garamond" w:hAnsi="Garamond"/>
        </w:rPr>
        <w:t>, or 6%</w:t>
      </w:r>
      <w:r w:rsidR="0080679F">
        <w:rPr>
          <w:rFonts w:ascii="Garamond" w:hAnsi="Garamond"/>
        </w:rPr>
        <w:t xml:space="preserve">. </w:t>
      </w:r>
      <w:r w:rsidR="009741ED">
        <w:rPr>
          <w:rFonts w:ascii="Garamond" w:hAnsi="Garamond"/>
        </w:rPr>
        <w:t xml:space="preserve">Despite </w:t>
      </w:r>
      <w:r w:rsidR="00AE56FD">
        <w:rPr>
          <w:rFonts w:ascii="Garamond" w:hAnsi="Garamond"/>
        </w:rPr>
        <w:t>a partially restored budget</w:t>
      </w:r>
      <w:r w:rsidR="005C6E56">
        <w:rPr>
          <w:rFonts w:ascii="Garamond" w:hAnsi="Garamond"/>
        </w:rPr>
        <w:t xml:space="preserve"> in 2013</w:t>
      </w:r>
      <w:r w:rsidR="0080679F">
        <w:rPr>
          <w:rFonts w:ascii="Garamond" w:hAnsi="Garamond"/>
        </w:rPr>
        <w:t xml:space="preserve">, increased </w:t>
      </w:r>
      <w:r w:rsidR="006B28A6">
        <w:rPr>
          <w:rFonts w:ascii="Garamond" w:hAnsi="Garamond"/>
        </w:rPr>
        <w:t>hiring</w:t>
      </w:r>
      <w:r w:rsidR="009741ED">
        <w:rPr>
          <w:rFonts w:ascii="Garamond" w:hAnsi="Garamond"/>
        </w:rPr>
        <w:t>,</w:t>
      </w:r>
      <w:r w:rsidR="0080679F">
        <w:rPr>
          <w:rFonts w:ascii="Garamond" w:hAnsi="Garamond"/>
        </w:rPr>
        <w:t xml:space="preserve"> a</w:t>
      </w:r>
      <w:r w:rsidR="00EA1740">
        <w:rPr>
          <w:rFonts w:ascii="Garamond" w:hAnsi="Garamond"/>
        </w:rPr>
        <w:t>nd pay raises for existing teachers</w:t>
      </w:r>
      <w:r w:rsidR="0080679F">
        <w:rPr>
          <w:rFonts w:ascii="Garamond" w:hAnsi="Garamond"/>
        </w:rPr>
        <w:t>,</w:t>
      </w:r>
      <w:r w:rsidR="009741ED">
        <w:rPr>
          <w:rFonts w:ascii="Garamond" w:hAnsi="Garamond"/>
        </w:rPr>
        <w:t xml:space="preserve"> back-to-back years of job losses </w:t>
      </w:r>
      <w:r w:rsidR="008A120B">
        <w:rPr>
          <w:rFonts w:ascii="Garamond" w:hAnsi="Garamond"/>
        </w:rPr>
        <w:t>were largely responsible for a</w:t>
      </w:r>
      <w:r w:rsidR="009741ED">
        <w:rPr>
          <w:rFonts w:ascii="Garamond" w:hAnsi="Garamond"/>
        </w:rPr>
        <w:t xml:space="preserve"> shortfall in the number of teachers needed to keep pace with student population </w:t>
      </w:r>
      <w:r w:rsidR="006B28A6">
        <w:rPr>
          <w:rFonts w:ascii="Garamond" w:hAnsi="Garamond"/>
        </w:rPr>
        <w:t>growth.</w:t>
      </w:r>
      <w:r w:rsidR="005C6E56">
        <w:rPr>
          <w:rFonts w:ascii="Garamond" w:hAnsi="Garamond"/>
        </w:rPr>
        <w:t xml:space="preserve"> In fact,</w:t>
      </w:r>
      <w:r w:rsidR="00B46845">
        <w:rPr>
          <w:rFonts w:ascii="Garamond" w:hAnsi="Garamond"/>
        </w:rPr>
        <w:t xml:space="preserve"> an additional </w:t>
      </w:r>
      <w:r w:rsidR="00EA1740">
        <w:rPr>
          <w:rFonts w:ascii="Garamond" w:hAnsi="Garamond"/>
        </w:rPr>
        <w:t>5,614</w:t>
      </w:r>
      <w:r w:rsidR="008A120B">
        <w:rPr>
          <w:rFonts w:ascii="Garamond" w:hAnsi="Garamond"/>
        </w:rPr>
        <w:t xml:space="preserve"> teachers</w:t>
      </w:r>
      <w:r w:rsidR="007B5B10">
        <w:rPr>
          <w:rFonts w:ascii="Garamond" w:hAnsi="Garamond"/>
        </w:rPr>
        <w:t xml:space="preserve"> on top of the 3,192</w:t>
      </w:r>
      <w:r w:rsidR="00FE09DB">
        <w:rPr>
          <w:rFonts w:ascii="Garamond" w:hAnsi="Garamond"/>
        </w:rPr>
        <w:t xml:space="preserve"> hired over the 2012-2013 and 2013-2014 school years</w:t>
      </w:r>
      <w:r w:rsidR="007B5B10">
        <w:rPr>
          <w:rFonts w:ascii="Garamond" w:hAnsi="Garamond"/>
        </w:rPr>
        <w:t xml:space="preserve"> </w:t>
      </w:r>
      <w:r w:rsidR="00FE09DB">
        <w:rPr>
          <w:rFonts w:ascii="Garamond" w:hAnsi="Garamond"/>
        </w:rPr>
        <w:t xml:space="preserve">would have been needed </w:t>
      </w:r>
      <w:r w:rsidR="005C6E56">
        <w:rPr>
          <w:rFonts w:ascii="Garamond" w:hAnsi="Garamond"/>
        </w:rPr>
        <w:t xml:space="preserve">in order for the </w:t>
      </w:r>
      <w:r w:rsidR="00E202CC">
        <w:rPr>
          <w:rFonts w:ascii="Garamond" w:hAnsi="Garamond"/>
        </w:rPr>
        <w:t xml:space="preserve">seven-year </w:t>
      </w:r>
      <w:r w:rsidR="005C6E56">
        <w:rPr>
          <w:rFonts w:ascii="Garamond" w:hAnsi="Garamond"/>
        </w:rPr>
        <w:t>growth</w:t>
      </w:r>
      <w:r w:rsidR="00E202CC">
        <w:rPr>
          <w:rFonts w:ascii="Garamond" w:hAnsi="Garamond"/>
        </w:rPr>
        <w:t xml:space="preserve"> rate</w:t>
      </w:r>
      <w:r w:rsidR="005C6E56">
        <w:rPr>
          <w:rFonts w:ascii="Garamond" w:hAnsi="Garamond"/>
        </w:rPr>
        <w:t xml:space="preserve"> of teachers to match that of students</w:t>
      </w:r>
      <w:r w:rsidR="008A120B">
        <w:rPr>
          <w:rFonts w:ascii="Garamond" w:hAnsi="Garamond"/>
        </w:rPr>
        <w:t>.</w:t>
      </w:r>
      <w:r w:rsidR="00F66F61">
        <w:rPr>
          <w:rFonts w:ascii="Garamond" w:hAnsi="Garamond"/>
        </w:rPr>
        <w:t xml:space="preserve"> (See Chart 4.)</w:t>
      </w:r>
    </w:p>
    <w:p w:rsidR="00512CE3" w:rsidRDefault="00512CE3" w:rsidP="009975DC">
      <w:pPr>
        <w:autoSpaceDE w:val="0"/>
        <w:autoSpaceDN w:val="0"/>
        <w:adjustRightInd w:val="0"/>
        <w:rPr>
          <w:rFonts w:ascii="Garamond" w:hAnsi="Garamond"/>
        </w:rPr>
      </w:pPr>
    </w:p>
    <w:p w:rsidR="009741ED" w:rsidRDefault="003F34E2" w:rsidP="009975DC">
      <w:pPr>
        <w:autoSpaceDE w:val="0"/>
        <w:autoSpaceDN w:val="0"/>
        <w:adjustRightInd w:val="0"/>
        <w:rPr>
          <w:rFonts w:ascii="Garamond" w:hAnsi="Garamond"/>
        </w:rPr>
      </w:pPr>
      <w:r w:rsidRPr="003F34E2">
        <w:rPr>
          <w:noProof/>
        </w:rPr>
        <w:drawing>
          <wp:inline distT="0" distB="0" distL="0" distR="0">
            <wp:extent cx="5486400" cy="3673110"/>
            <wp:effectExtent l="19050" t="0" r="0" b="0"/>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5486400" cy="3673110"/>
                    </a:xfrm>
                    <a:prstGeom prst="rect">
                      <a:avLst/>
                    </a:prstGeom>
                    <a:noFill/>
                    <a:ln w="9525">
                      <a:noFill/>
                      <a:miter lim="800000"/>
                      <a:headEnd/>
                      <a:tailEnd/>
                    </a:ln>
                  </pic:spPr>
                </pic:pic>
              </a:graphicData>
            </a:graphic>
          </wp:inline>
        </w:drawing>
      </w:r>
    </w:p>
    <w:p w:rsidR="00876414" w:rsidRDefault="00876414" w:rsidP="009975DC">
      <w:pPr>
        <w:autoSpaceDE w:val="0"/>
        <w:autoSpaceDN w:val="0"/>
        <w:adjustRightInd w:val="0"/>
        <w:rPr>
          <w:rFonts w:ascii="Garamond" w:hAnsi="Garamond"/>
        </w:rPr>
      </w:pPr>
      <w:r w:rsidRPr="00876414">
        <w:rPr>
          <w:noProof/>
        </w:rPr>
        <w:drawing>
          <wp:inline distT="0" distB="0" distL="0" distR="0">
            <wp:extent cx="5486400" cy="1593771"/>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5486400" cy="1593771"/>
                    </a:xfrm>
                    <a:prstGeom prst="rect">
                      <a:avLst/>
                    </a:prstGeom>
                    <a:noFill/>
                    <a:ln w="9525">
                      <a:noFill/>
                      <a:miter lim="800000"/>
                      <a:headEnd/>
                      <a:tailEnd/>
                    </a:ln>
                  </pic:spPr>
                </pic:pic>
              </a:graphicData>
            </a:graphic>
          </wp:inline>
        </w:drawing>
      </w:r>
    </w:p>
    <w:p w:rsidR="003D4D49" w:rsidRPr="00874DE2" w:rsidRDefault="003D4D49" w:rsidP="00DE7E9D">
      <w:pPr>
        <w:autoSpaceDE w:val="0"/>
        <w:autoSpaceDN w:val="0"/>
        <w:adjustRightInd w:val="0"/>
        <w:rPr>
          <w:rFonts w:ascii="Garamond" w:hAnsi="Garamond"/>
          <w:b/>
          <w:szCs w:val="24"/>
          <w:u w:val="single"/>
        </w:rPr>
      </w:pPr>
      <w:r w:rsidRPr="00874DE2">
        <w:rPr>
          <w:rFonts w:ascii="Garamond" w:hAnsi="Garamond"/>
          <w:b/>
          <w:szCs w:val="24"/>
          <w:u w:val="single"/>
        </w:rPr>
        <w:lastRenderedPageBreak/>
        <w:t>Student-Teacher Ratios: A Historical Perspective</w:t>
      </w:r>
    </w:p>
    <w:p w:rsidR="003D4D49" w:rsidRDefault="003D4D49" w:rsidP="00DE7E9D">
      <w:pPr>
        <w:autoSpaceDE w:val="0"/>
        <w:autoSpaceDN w:val="0"/>
        <w:adjustRightInd w:val="0"/>
        <w:rPr>
          <w:rFonts w:ascii="Garamond" w:hAnsi="Garamond"/>
        </w:rPr>
      </w:pPr>
    </w:p>
    <w:p w:rsidR="00D51BF4" w:rsidRDefault="00734C3C" w:rsidP="00DE7E9D">
      <w:pPr>
        <w:autoSpaceDE w:val="0"/>
        <w:autoSpaceDN w:val="0"/>
        <w:adjustRightInd w:val="0"/>
        <w:rPr>
          <w:rFonts w:ascii="Garamond" w:hAnsi="Garamond"/>
        </w:rPr>
      </w:pPr>
      <w:r>
        <w:rPr>
          <w:rFonts w:ascii="Garamond" w:hAnsi="Garamond"/>
        </w:rPr>
        <w:t xml:space="preserve">A natural consequence of fewer teachers </w:t>
      </w:r>
      <w:r w:rsidR="00920186">
        <w:rPr>
          <w:rFonts w:ascii="Garamond" w:hAnsi="Garamond"/>
        </w:rPr>
        <w:t>serving</w:t>
      </w:r>
      <w:r>
        <w:rPr>
          <w:rFonts w:ascii="Garamond" w:hAnsi="Garamond"/>
        </w:rPr>
        <w:t xml:space="preserve"> a growing number of students is a rising student-to-teacher ratio.</w:t>
      </w:r>
      <w:r w:rsidR="00DE7E9D">
        <w:rPr>
          <w:rFonts w:ascii="Garamond" w:hAnsi="Garamond"/>
        </w:rPr>
        <w:t xml:space="preserve"> </w:t>
      </w:r>
      <w:r w:rsidR="007B5B10">
        <w:rPr>
          <w:rFonts w:ascii="Garamond" w:hAnsi="Garamond"/>
        </w:rPr>
        <w:t>Over the past two decades</w:t>
      </w:r>
      <w:r w:rsidR="00FC48D0">
        <w:rPr>
          <w:rFonts w:ascii="Garamond" w:hAnsi="Garamond"/>
        </w:rPr>
        <w:t>,</w:t>
      </w:r>
      <w:r>
        <w:rPr>
          <w:rFonts w:ascii="Garamond" w:hAnsi="Garamond"/>
        </w:rPr>
        <w:t xml:space="preserve"> this ratio declined</w:t>
      </w:r>
      <w:r w:rsidR="00B6593F">
        <w:rPr>
          <w:rFonts w:ascii="Garamond" w:hAnsi="Garamond"/>
        </w:rPr>
        <w:t xml:space="preserve"> across the </w:t>
      </w:r>
      <w:r w:rsidR="00FC48D0">
        <w:rPr>
          <w:rFonts w:ascii="Garamond" w:hAnsi="Garamond"/>
        </w:rPr>
        <w:t>Gulf Coast region</w:t>
      </w:r>
      <w:r w:rsidR="00DE7E9D">
        <w:rPr>
          <w:rFonts w:ascii="Garamond" w:hAnsi="Garamond"/>
        </w:rPr>
        <w:t xml:space="preserve"> reaching a</w:t>
      </w:r>
      <w:r w:rsidR="00483CDB">
        <w:rPr>
          <w:rFonts w:ascii="Garamond" w:hAnsi="Garamond"/>
        </w:rPr>
        <w:t xml:space="preserve"> </w:t>
      </w:r>
      <w:r w:rsidR="00FC48D0">
        <w:rPr>
          <w:rFonts w:ascii="Garamond" w:hAnsi="Garamond"/>
        </w:rPr>
        <w:t>20</w:t>
      </w:r>
      <w:r w:rsidR="00483CDB">
        <w:rPr>
          <w:rFonts w:ascii="Garamond" w:hAnsi="Garamond"/>
        </w:rPr>
        <w:t xml:space="preserve">-year </w:t>
      </w:r>
      <w:r w:rsidR="00FC48D0">
        <w:rPr>
          <w:rFonts w:ascii="Garamond" w:hAnsi="Garamond"/>
        </w:rPr>
        <w:t>low of approximately 15.2</w:t>
      </w:r>
      <w:r w:rsidR="00DE7E9D">
        <w:rPr>
          <w:rFonts w:ascii="Garamond" w:hAnsi="Garamond"/>
        </w:rPr>
        <w:t xml:space="preserve"> students per teacher </w:t>
      </w:r>
      <w:r w:rsidR="00FC48D0">
        <w:rPr>
          <w:rFonts w:ascii="Garamond" w:hAnsi="Garamond"/>
        </w:rPr>
        <w:t xml:space="preserve">during the three </w:t>
      </w:r>
      <w:r w:rsidR="00DE7E9D">
        <w:rPr>
          <w:rFonts w:ascii="Garamond" w:hAnsi="Garamond"/>
        </w:rPr>
        <w:t>school years</w:t>
      </w:r>
      <w:r w:rsidR="00FC48D0">
        <w:rPr>
          <w:rFonts w:ascii="Garamond" w:hAnsi="Garamond"/>
        </w:rPr>
        <w:t xml:space="preserve"> between 2007 and 2010</w:t>
      </w:r>
      <w:r w:rsidR="00DE7E9D">
        <w:rPr>
          <w:rFonts w:ascii="Garamond" w:hAnsi="Garamond"/>
        </w:rPr>
        <w:t xml:space="preserve">. </w:t>
      </w:r>
      <w:r w:rsidR="00FF4503">
        <w:rPr>
          <w:rFonts w:ascii="Garamond" w:hAnsi="Garamond"/>
        </w:rPr>
        <w:t xml:space="preserve">In the wake of </w:t>
      </w:r>
      <w:r w:rsidR="00DE7E9D">
        <w:rPr>
          <w:rFonts w:ascii="Garamond" w:hAnsi="Garamond"/>
        </w:rPr>
        <w:t>layoffs related to budget cuts in 2011, the ratio rose dramatically reach</w:t>
      </w:r>
      <w:r w:rsidR="00FC48D0">
        <w:rPr>
          <w:rFonts w:ascii="Garamond" w:hAnsi="Garamond"/>
        </w:rPr>
        <w:t>ing an all-time high of 16.6</w:t>
      </w:r>
      <w:r w:rsidR="00B6593F">
        <w:rPr>
          <w:rFonts w:ascii="Garamond" w:hAnsi="Garamond"/>
        </w:rPr>
        <w:t xml:space="preserve"> </w:t>
      </w:r>
      <w:r w:rsidR="00DE7E9D">
        <w:rPr>
          <w:rFonts w:ascii="Garamond" w:hAnsi="Garamond"/>
        </w:rPr>
        <w:t>in 2012-2013.</w:t>
      </w:r>
      <w:r w:rsidR="00FF4503">
        <w:rPr>
          <w:rFonts w:ascii="Garamond" w:hAnsi="Garamond"/>
        </w:rPr>
        <w:t xml:space="preserve"> In the following year the student-tea</w:t>
      </w:r>
      <w:r w:rsidR="00DF0F22">
        <w:rPr>
          <w:rFonts w:ascii="Garamond" w:hAnsi="Garamond"/>
        </w:rPr>
        <w:t>cher ratio fell slightly to 16.4</w:t>
      </w:r>
      <w:r w:rsidR="00FF4503">
        <w:rPr>
          <w:rFonts w:ascii="Garamond" w:hAnsi="Garamond"/>
        </w:rPr>
        <w:t xml:space="preserve"> </w:t>
      </w:r>
      <w:r w:rsidR="00483CDB">
        <w:rPr>
          <w:rFonts w:ascii="Garamond" w:hAnsi="Garamond"/>
        </w:rPr>
        <w:t>yet</w:t>
      </w:r>
      <w:r w:rsidR="00FF4503">
        <w:rPr>
          <w:rFonts w:ascii="Garamond" w:hAnsi="Garamond"/>
        </w:rPr>
        <w:t xml:space="preserve"> this remained above the</w:t>
      </w:r>
      <w:r w:rsidR="00DF0F22">
        <w:rPr>
          <w:rFonts w:ascii="Garamond" w:hAnsi="Garamond"/>
        </w:rPr>
        <w:t xml:space="preserve"> 20-year</w:t>
      </w:r>
      <w:r w:rsidR="00FF4503">
        <w:rPr>
          <w:rFonts w:ascii="Garamond" w:hAnsi="Garamond"/>
        </w:rPr>
        <w:t xml:space="preserve"> </w:t>
      </w:r>
      <w:r w:rsidR="00DD4133">
        <w:rPr>
          <w:rFonts w:ascii="Garamond" w:hAnsi="Garamond"/>
        </w:rPr>
        <w:t xml:space="preserve">average of </w:t>
      </w:r>
      <w:r w:rsidR="00FF4503">
        <w:rPr>
          <w:rFonts w:ascii="Garamond" w:hAnsi="Garamond"/>
        </w:rPr>
        <w:t xml:space="preserve">15.9 students for every teacher. </w:t>
      </w:r>
    </w:p>
    <w:p w:rsidR="00D51BF4" w:rsidRDefault="00D51BF4" w:rsidP="00DE7E9D">
      <w:pPr>
        <w:autoSpaceDE w:val="0"/>
        <w:autoSpaceDN w:val="0"/>
        <w:adjustRightInd w:val="0"/>
        <w:rPr>
          <w:rFonts w:ascii="Garamond" w:hAnsi="Garamond"/>
        </w:rPr>
      </w:pPr>
    </w:p>
    <w:p w:rsidR="00DE7E9D" w:rsidRDefault="00FF4503" w:rsidP="00DE7E9D">
      <w:pPr>
        <w:autoSpaceDE w:val="0"/>
        <w:autoSpaceDN w:val="0"/>
        <w:adjustRightInd w:val="0"/>
        <w:rPr>
          <w:rFonts w:ascii="Garamond" w:hAnsi="Garamond"/>
        </w:rPr>
      </w:pPr>
      <w:r>
        <w:rPr>
          <w:rFonts w:ascii="Garamond" w:hAnsi="Garamond"/>
        </w:rPr>
        <w:t>While</w:t>
      </w:r>
      <w:r w:rsidR="00483CDB">
        <w:rPr>
          <w:rFonts w:ascii="Garamond" w:hAnsi="Garamond"/>
        </w:rPr>
        <w:t xml:space="preserve"> in reality</w:t>
      </w:r>
      <w:r w:rsidR="008474C1">
        <w:rPr>
          <w:rFonts w:ascii="Garamond" w:hAnsi="Garamond"/>
        </w:rPr>
        <w:t xml:space="preserve"> </w:t>
      </w:r>
      <w:r w:rsidR="00B6593F">
        <w:rPr>
          <w:rFonts w:ascii="Garamond" w:hAnsi="Garamond"/>
        </w:rPr>
        <w:t xml:space="preserve">the </w:t>
      </w:r>
      <w:r w:rsidR="00D51BF4">
        <w:rPr>
          <w:rFonts w:ascii="Garamond" w:hAnsi="Garamond"/>
        </w:rPr>
        <w:t>exact</w:t>
      </w:r>
      <w:r w:rsidR="008474C1">
        <w:rPr>
          <w:rFonts w:ascii="Garamond" w:hAnsi="Garamond"/>
        </w:rPr>
        <w:t xml:space="preserve"> magnitude of </w:t>
      </w:r>
      <w:r w:rsidR="006A49DD">
        <w:rPr>
          <w:rFonts w:ascii="Garamond" w:hAnsi="Garamond"/>
        </w:rPr>
        <w:t xml:space="preserve">any </w:t>
      </w:r>
      <w:r w:rsidR="003A017E">
        <w:rPr>
          <w:rFonts w:ascii="Garamond" w:hAnsi="Garamond"/>
        </w:rPr>
        <w:t>teacher shortages may have been</w:t>
      </w:r>
      <w:r w:rsidR="008474C1">
        <w:rPr>
          <w:rFonts w:ascii="Garamond" w:hAnsi="Garamond"/>
        </w:rPr>
        <w:t xml:space="preserve"> more</w:t>
      </w:r>
      <w:r w:rsidR="00B6593F">
        <w:rPr>
          <w:rFonts w:ascii="Garamond" w:hAnsi="Garamond"/>
        </w:rPr>
        <w:t xml:space="preserve"> or less</w:t>
      </w:r>
      <w:r w:rsidR="008474C1">
        <w:rPr>
          <w:rFonts w:ascii="Garamond" w:hAnsi="Garamond"/>
        </w:rPr>
        <w:t xml:space="preserve"> pronounced among certain grades, schools, districts, etc.,</w:t>
      </w:r>
      <w:r w:rsidR="006A49DD">
        <w:rPr>
          <w:rFonts w:ascii="Garamond" w:hAnsi="Garamond"/>
        </w:rPr>
        <w:t xml:space="preserve"> </w:t>
      </w:r>
      <w:r w:rsidR="009A1992">
        <w:rPr>
          <w:rFonts w:ascii="Garamond" w:hAnsi="Garamond"/>
        </w:rPr>
        <w:t xml:space="preserve">on average </w:t>
      </w:r>
      <w:r w:rsidR="006A49DD">
        <w:rPr>
          <w:rFonts w:ascii="Garamond" w:hAnsi="Garamond"/>
        </w:rPr>
        <w:t>an ad</w:t>
      </w:r>
      <w:r w:rsidR="00DF0F22">
        <w:rPr>
          <w:rFonts w:ascii="Garamond" w:hAnsi="Garamond"/>
        </w:rPr>
        <w:t>ditional 2,110</w:t>
      </w:r>
      <w:r w:rsidR="006A49DD">
        <w:rPr>
          <w:rFonts w:ascii="Garamond" w:hAnsi="Garamond"/>
        </w:rPr>
        <w:t xml:space="preserve"> teachers</w:t>
      </w:r>
      <w:r w:rsidR="009A1992">
        <w:rPr>
          <w:rFonts w:ascii="Garamond" w:hAnsi="Garamond"/>
        </w:rPr>
        <w:t xml:space="preserve"> would have needed for the 2013-2014 school year</w:t>
      </w:r>
      <w:r w:rsidR="00B6593F">
        <w:rPr>
          <w:rFonts w:ascii="Garamond" w:hAnsi="Garamond"/>
        </w:rPr>
        <w:t xml:space="preserve"> in order lower the</w:t>
      </w:r>
      <w:r w:rsidR="00DF0F22">
        <w:rPr>
          <w:rFonts w:ascii="Garamond" w:hAnsi="Garamond"/>
        </w:rPr>
        <w:t xml:space="preserve"> student-teacher ratio from 16.4</w:t>
      </w:r>
      <w:r w:rsidR="00B6593F">
        <w:rPr>
          <w:rFonts w:ascii="Garamond" w:hAnsi="Garamond"/>
        </w:rPr>
        <w:t xml:space="preserve"> down to the</w:t>
      </w:r>
      <w:r w:rsidR="00DF0F22">
        <w:rPr>
          <w:rFonts w:ascii="Garamond" w:hAnsi="Garamond"/>
        </w:rPr>
        <w:t xml:space="preserve"> 20-year</w:t>
      </w:r>
      <w:r w:rsidR="00B6593F">
        <w:rPr>
          <w:rFonts w:ascii="Garamond" w:hAnsi="Garamond"/>
        </w:rPr>
        <w:t xml:space="preserve"> average</w:t>
      </w:r>
      <w:r w:rsidR="009A1992">
        <w:rPr>
          <w:rFonts w:ascii="Garamond" w:hAnsi="Garamond"/>
        </w:rPr>
        <w:t xml:space="preserve">. </w:t>
      </w:r>
      <w:r w:rsidR="00483CDB">
        <w:rPr>
          <w:rFonts w:ascii="Garamond" w:hAnsi="Garamond"/>
        </w:rPr>
        <w:t>Currently,</w:t>
      </w:r>
      <w:r w:rsidR="00DE7E9D">
        <w:rPr>
          <w:rFonts w:ascii="Garamond" w:hAnsi="Garamond"/>
        </w:rPr>
        <w:t xml:space="preserve"> data for the 2014-2015 sc</w:t>
      </w:r>
      <w:r w:rsidR="00483CDB">
        <w:rPr>
          <w:rFonts w:ascii="Garamond" w:hAnsi="Garamond"/>
        </w:rPr>
        <w:t>hool year are not yet available</w:t>
      </w:r>
      <w:r w:rsidR="00DE7E9D">
        <w:rPr>
          <w:rFonts w:ascii="Garamond" w:hAnsi="Garamond"/>
        </w:rPr>
        <w:t xml:space="preserve"> </w:t>
      </w:r>
      <w:r w:rsidR="009A1992">
        <w:rPr>
          <w:rFonts w:ascii="Garamond" w:hAnsi="Garamond"/>
        </w:rPr>
        <w:t>however</w:t>
      </w:r>
      <w:r w:rsidR="005F0892">
        <w:rPr>
          <w:rFonts w:ascii="Garamond" w:hAnsi="Garamond"/>
        </w:rPr>
        <w:t xml:space="preserve"> recent</w:t>
      </w:r>
      <w:r w:rsidR="009A1992">
        <w:rPr>
          <w:rFonts w:ascii="Garamond" w:hAnsi="Garamond"/>
        </w:rPr>
        <w:t xml:space="preserve"> </w:t>
      </w:r>
      <w:r w:rsidR="00B57EB2">
        <w:rPr>
          <w:rFonts w:ascii="Garamond" w:hAnsi="Garamond"/>
        </w:rPr>
        <w:t xml:space="preserve">reports of aggressive </w:t>
      </w:r>
      <w:r w:rsidR="00DE7E9D">
        <w:rPr>
          <w:rFonts w:ascii="Garamond" w:hAnsi="Garamond"/>
        </w:rPr>
        <w:t>hiring</w:t>
      </w:r>
      <w:r w:rsidR="00B57EB2">
        <w:rPr>
          <w:rFonts w:ascii="Garamond" w:hAnsi="Garamond"/>
        </w:rPr>
        <w:t xml:space="preserve"> </w:t>
      </w:r>
      <w:r w:rsidR="005F0892">
        <w:rPr>
          <w:rFonts w:ascii="Garamond" w:hAnsi="Garamond"/>
        </w:rPr>
        <w:t>initiatives</w:t>
      </w:r>
      <w:r w:rsidR="001229B5">
        <w:rPr>
          <w:rFonts w:ascii="Garamond" w:hAnsi="Garamond"/>
        </w:rPr>
        <w:t xml:space="preserve"> </w:t>
      </w:r>
      <w:r w:rsidR="00B57EB2">
        <w:rPr>
          <w:rFonts w:ascii="Garamond" w:hAnsi="Garamond"/>
        </w:rPr>
        <w:t>suggest that the</w:t>
      </w:r>
      <w:r w:rsidR="00DE7E9D">
        <w:rPr>
          <w:rFonts w:ascii="Garamond" w:hAnsi="Garamond"/>
        </w:rPr>
        <w:t xml:space="preserve"> ratio</w:t>
      </w:r>
      <w:r w:rsidR="00B57EB2">
        <w:rPr>
          <w:rFonts w:ascii="Garamond" w:hAnsi="Garamond"/>
        </w:rPr>
        <w:t xml:space="preserve"> will continue to fall</w:t>
      </w:r>
      <w:r w:rsidR="00DE7E9D">
        <w:rPr>
          <w:rFonts w:ascii="Garamond" w:hAnsi="Garamond"/>
        </w:rPr>
        <w:t xml:space="preserve">. </w:t>
      </w:r>
      <w:r w:rsidR="001229B5">
        <w:rPr>
          <w:rFonts w:ascii="Garamond" w:hAnsi="Garamond"/>
        </w:rPr>
        <w:t>Nonetheless</w:t>
      </w:r>
      <w:r w:rsidR="00DE7E9D">
        <w:rPr>
          <w:rFonts w:ascii="Garamond" w:hAnsi="Garamond"/>
        </w:rPr>
        <w:t xml:space="preserve"> </w:t>
      </w:r>
      <w:r w:rsidR="00DF0F22">
        <w:rPr>
          <w:rFonts w:ascii="Garamond" w:hAnsi="Garamond"/>
        </w:rPr>
        <w:t>multiple</w:t>
      </w:r>
      <w:r w:rsidR="00DE7E9D">
        <w:rPr>
          <w:rFonts w:ascii="Garamond" w:hAnsi="Garamond"/>
        </w:rPr>
        <w:t xml:space="preserve"> years of </w:t>
      </w:r>
      <w:r w:rsidR="001464C8">
        <w:rPr>
          <w:rFonts w:ascii="Garamond" w:hAnsi="Garamond"/>
        </w:rPr>
        <w:t>intensive</w:t>
      </w:r>
      <w:r w:rsidR="001229B5">
        <w:rPr>
          <w:rFonts w:ascii="Garamond" w:hAnsi="Garamond"/>
        </w:rPr>
        <w:t xml:space="preserve"> recruitment</w:t>
      </w:r>
      <w:r w:rsidR="00B57EB2">
        <w:rPr>
          <w:rFonts w:ascii="Garamond" w:hAnsi="Garamond"/>
        </w:rPr>
        <w:t xml:space="preserve"> efforts may be required</w:t>
      </w:r>
      <w:r w:rsidR="00DE7E9D">
        <w:rPr>
          <w:rFonts w:ascii="Garamond" w:hAnsi="Garamond"/>
        </w:rPr>
        <w:t xml:space="preserve"> in order to </w:t>
      </w:r>
      <w:r w:rsidR="00DF0F22">
        <w:rPr>
          <w:rFonts w:ascii="Garamond" w:hAnsi="Garamond"/>
        </w:rPr>
        <w:t>lower</w:t>
      </w:r>
      <w:r w:rsidR="00DE7E9D">
        <w:rPr>
          <w:rFonts w:ascii="Garamond" w:hAnsi="Garamond"/>
        </w:rPr>
        <w:t xml:space="preserve"> the ratio back to </w:t>
      </w:r>
      <w:r w:rsidR="00DF0F22">
        <w:rPr>
          <w:rFonts w:ascii="Garamond" w:hAnsi="Garamond"/>
        </w:rPr>
        <w:t xml:space="preserve">the </w:t>
      </w:r>
      <w:r w:rsidR="00DE7E9D">
        <w:rPr>
          <w:rFonts w:ascii="Garamond" w:hAnsi="Garamond"/>
        </w:rPr>
        <w:t>historical average.</w:t>
      </w:r>
      <w:r w:rsidR="00F66F61">
        <w:rPr>
          <w:rFonts w:ascii="Garamond" w:hAnsi="Garamond"/>
        </w:rPr>
        <w:t xml:space="preserve"> (See Chart 5.)</w:t>
      </w:r>
    </w:p>
    <w:p w:rsidR="00DE7E9D" w:rsidRDefault="00DE7E9D" w:rsidP="009975DC">
      <w:pPr>
        <w:autoSpaceDE w:val="0"/>
        <w:autoSpaceDN w:val="0"/>
        <w:adjustRightInd w:val="0"/>
        <w:rPr>
          <w:rFonts w:ascii="Garamond" w:hAnsi="Garamond"/>
        </w:rPr>
      </w:pPr>
    </w:p>
    <w:p w:rsidR="00720713" w:rsidRDefault="00DF0F22" w:rsidP="009975DC">
      <w:pPr>
        <w:autoSpaceDE w:val="0"/>
        <w:autoSpaceDN w:val="0"/>
        <w:adjustRightInd w:val="0"/>
        <w:rPr>
          <w:rFonts w:ascii="Garamond" w:hAnsi="Garamond"/>
        </w:rPr>
      </w:pPr>
      <w:r w:rsidRPr="00DF0F22">
        <w:rPr>
          <w:noProof/>
        </w:rPr>
        <w:drawing>
          <wp:inline distT="0" distB="0" distL="0" distR="0">
            <wp:extent cx="5486400" cy="3588955"/>
            <wp:effectExtent l="19050" t="0" r="0" b="0"/>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5486400" cy="3588955"/>
                    </a:xfrm>
                    <a:prstGeom prst="rect">
                      <a:avLst/>
                    </a:prstGeom>
                    <a:noFill/>
                    <a:ln w="9525">
                      <a:noFill/>
                      <a:miter lim="800000"/>
                      <a:headEnd/>
                      <a:tailEnd/>
                    </a:ln>
                  </pic:spPr>
                </pic:pic>
              </a:graphicData>
            </a:graphic>
          </wp:inline>
        </w:drawing>
      </w:r>
    </w:p>
    <w:p w:rsidR="008D278F" w:rsidRDefault="008D278F" w:rsidP="009975DC">
      <w:pPr>
        <w:autoSpaceDE w:val="0"/>
        <w:autoSpaceDN w:val="0"/>
        <w:adjustRightInd w:val="0"/>
        <w:rPr>
          <w:rFonts w:ascii="Garamond" w:hAnsi="Garamond"/>
        </w:rPr>
      </w:pPr>
    </w:p>
    <w:p w:rsidR="00CB0215" w:rsidRPr="00FF45B2" w:rsidRDefault="00CB0215" w:rsidP="009975DC">
      <w:pPr>
        <w:autoSpaceDE w:val="0"/>
        <w:autoSpaceDN w:val="0"/>
        <w:adjustRightInd w:val="0"/>
        <w:rPr>
          <w:rFonts w:ascii="Garamond" w:hAnsi="Garamond"/>
          <w:sz w:val="12"/>
          <w:szCs w:val="12"/>
        </w:rPr>
      </w:pPr>
    </w:p>
    <w:p w:rsidR="003D4D49" w:rsidRDefault="003D4D49" w:rsidP="00491A8D">
      <w:pPr>
        <w:pStyle w:val="Heading7"/>
        <w:spacing w:after="0"/>
        <w:rPr>
          <w:rFonts w:ascii="Garamond" w:hAnsi="Garamond"/>
          <w:color w:val="auto"/>
          <w:sz w:val="24"/>
        </w:rPr>
      </w:pPr>
    </w:p>
    <w:p w:rsidR="00DF0F22" w:rsidRDefault="00DF0F22" w:rsidP="00491A8D">
      <w:pPr>
        <w:pStyle w:val="Heading7"/>
        <w:spacing w:after="0"/>
        <w:rPr>
          <w:rFonts w:ascii="Garamond" w:hAnsi="Garamond"/>
          <w:color w:val="auto"/>
          <w:sz w:val="24"/>
        </w:rPr>
      </w:pPr>
    </w:p>
    <w:p w:rsidR="00DF0F22" w:rsidRDefault="00DF0F22" w:rsidP="00DF0F22"/>
    <w:p w:rsidR="00DF0F22" w:rsidRDefault="00DF0F22" w:rsidP="00DF0F22"/>
    <w:p w:rsidR="00DF0F22" w:rsidRDefault="00DF0F22" w:rsidP="00DF0F22"/>
    <w:p w:rsidR="00DF0F22" w:rsidRPr="00DF0F22" w:rsidRDefault="00DF0F22" w:rsidP="00DF0F22"/>
    <w:p w:rsidR="0086275D" w:rsidRPr="00874DE2" w:rsidRDefault="00D51BF4" w:rsidP="00491A8D">
      <w:pPr>
        <w:pStyle w:val="Heading7"/>
        <w:spacing w:after="0"/>
        <w:rPr>
          <w:rFonts w:ascii="Garamond" w:hAnsi="Garamond"/>
          <w:color w:val="auto"/>
          <w:sz w:val="24"/>
          <w:szCs w:val="24"/>
          <w:u w:val="single"/>
        </w:rPr>
      </w:pPr>
      <w:r w:rsidRPr="00874DE2">
        <w:rPr>
          <w:rFonts w:ascii="Garamond" w:hAnsi="Garamond"/>
          <w:color w:val="auto"/>
          <w:sz w:val="24"/>
          <w:szCs w:val="24"/>
          <w:u w:val="single"/>
        </w:rPr>
        <w:lastRenderedPageBreak/>
        <w:t>The Wage Gap</w:t>
      </w:r>
    </w:p>
    <w:p w:rsidR="000E5700" w:rsidRDefault="000E5700" w:rsidP="000E5700"/>
    <w:p w:rsidR="003A017E" w:rsidRDefault="003D4D49" w:rsidP="000E5700">
      <w:pPr>
        <w:rPr>
          <w:rFonts w:ascii="Garamond" w:hAnsi="Garamond"/>
        </w:rPr>
      </w:pPr>
      <w:r>
        <w:rPr>
          <w:rFonts w:ascii="Garamond" w:hAnsi="Garamond"/>
        </w:rPr>
        <w:t>Teacher</w:t>
      </w:r>
      <w:r w:rsidR="000E5700" w:rsidRPr="00413876">
        <w:rPr>
          <w:rFonts w:ascii="Garamond" w:hAnsi="Garamond"/>
        </w:rPr>
        <w:t>s</w:t>
      </w:r>
      <w:r>
        <w:rPr>
          <w:rFonts w:ascii="Garamond" w:hAnsi="Garamond"/>
        </w:rPr>
        <w:t>’</w:t>
      </w:r>
      <w:r w:rsidR="000E5700" w:rsidRPr="00413876">
        <w:rPr>
          <w:rFonts w:ascii="Garamond" w:hAnsi="Garamond"/>
        </w:rPr>
        <w:t xml:space="preserve"> wages in </w:t>
      </w:r>
      <w:r w:rsidR="00DF0F22">
        <w:rPr>
          <w:rFonts w:ascii="Garamond" w:hAnsi="Garamond"/>
        </w:rPr>
        <w:t>the Gulf Coast</w:t>
      </w:r>
      <w:r w:rsidR="000E5700" w:rsidRPr="00413876">
        <w:rPr>
          <w:rFonts w:ascii="Garamond" w:hAnsi="Garamond"/>
        </w:rPr>
        <w:t xml:space="preserve"> </w:t>
      </w:r>
      <w:r w:rsidR="00724C63">
        <w:rPr>
          <w:rFonts w:ascii="Garamond" w:hAnsi="Garamond"/>
        </w:rPr>
        <w:t>have</w:t>
      </w:r>
      <w:r w:rsidR="00B5622C">
        <w:rPr>
          <w:rFonts w:ascii="Garamond" w:hAnsi="Garamond"/>
        </w:rPr>
        <w:t xml:space="preserve"> historically </w:t>
      </w:r>
      <w:r>
        <w:rPr>
          <w:rFonts w:ascii="Garamond" w:hAnsi="Garamond"/>
        </w:rPr>
        <w:t>fallen</w:t>
      </w:r>
      <w:r w:rsidR="000E5700" w:rsidRPr="00413876">
        <w:rPr>
          <w:rFonts w:ascii="Garamond" w:hAnsi="Garamond"/>
        </w:rPr>
        <w:t xml:space="preserve"> below the average for all industries</w:t>
      </w:r>
      <w:r w:rsidR="00413876">
        <w:rPr>
          <w:rFonts w:ascii="Garamond" w:hAnsi="Garamond"/>
        </w:rPr>
        <w:t xml:space="preserve"> in the area.</w:t>
      </w:r>
      <w:r w:rsidR="000E5700" w:rsidRPr="00413876">
        <w:rPr>
          <w:rFonts w:ascii="Garamond" w:hAnsi="Garamond"/>
        </w:rPr>
        <w:t xml:space="preserve"> </w:t>
      </w:r>
      <w:r w:rsidR="00DC2896">
        <w:rPr>
          <w:rFonts w:ascii="Garamond" w:hAnsi="Garamond"/>
        </w:rPr>
        <w:t xml:space="preserve">In </w:t>
      </w:r>
      <w:r w:rsidR="00DF0F22">
        <w:rPr>
          <w:rFonts w:ascii="Garamond" w:hAnsi="Garamond"/>
        </w:rPr>
        <w:t>1995</w:t>
      </w:r>
      <w:r w:rsidR="00413876" w:rsidRPr="00413876">
        <w:rPr>
          <w:rFonts w:ascii="Garamond" w:hAnsi="Garamond"/>
        </w:rPr>
        <w:t xml:space="preserve">, the wage differential between </w:t>
      </w:r>
      <w:r w:rsidR="00DC7898">
        <w:rPr>
          <w:rFonts w:ascii="Garamond" w:hAnsi="Garamond"/>
        </w:rPr>
        <w:t xml:space="preserve">these groups </w:t>
      </w:r>
      <w:r w:rsidR="00413876" w:rsidRPr="00413876">
        <w:rPr>
          <w:rFonts w:ascii="Garamond" w:hAnsi="Garamond"/>
        </w:rPr>
        <w:t>was</w:t>
      </w:r>
      <w:r w:rsidR="00E65656">
        <w:rPr>
          <w:rFonts w:ascii="Garamond" w:hAnsi="Garamond"/>
        </w:rPr>
        <w:t xml:space="preserve"> a mere</w:t>
      </w:r>
      <w:r w:rsidR="00DC2896">
        <w:rPr>
          <w:rFonts w:ascii="Garamond" w:hAnsi="Garamond"/>
        </w:rPr>
        <w:t xml:space="preserve"> $</w:t>
      </w:r>
      <w:r w:rsidR="00DF0F22">
        <w:rPr>
          <w:rFonts w:ascii="Garamond" w:hAnsi="Garamond"/>
        </w:rPr>
        <w:t>321</w:t>
      </w:r>
      <w:r w:rsidR="00413876">
        <w:rPr>
          <w:rFonts w:ascii="Garamond" w:hAnsi="Garamond"/>
        </w:rPr>
        <w:t>. By 201</w:t>
      </w:r>
      <w:r w:rsidR="00DC2896">
        <w:rPr>
          <w:rFonts w:ascii="Garamond" w:hAnsi="Garamond"/>
        </w:rPr>
        <w:t xml:space="preserve">4 the </w:t>
      </w:r>
      <w:r w:rsidR="00DF37B9">
        <w:rPr>
          <w:rFonts w:ascii="Garamond" w:hAnsi="Garamond"/>
        </w:rPr>
        <w:t>gap</w:t>
      </w:r>
      <w:r w:rsidR="00DC2896">
        <w:rPr>
          <w:rFonts w:ascii="Garamond" w:hAnsi="Garamond"/>
        </w:rPr>
        <w:t xml:space="preserve"> had widened to</w:t>
      </w:r>
      <w:r w:rsidR="00E65656">
        <w:rPr>
          <w:rFonts w:ascii="Garamond" w:hAnsi="Garamond"/>
        </w:rPr>
        <w:t xml:space="preserve"> $12,221</w:t>
      </w:r>
      <w:r w:rsidR="00413876">
        <w:rPr>
          <w:rFonts w:ascii="Garamond" w:hAnsi="Garamond"/>
        </w:rPr>
        <w:t xml:space="preserve">. This was the result of </w:t>
      </w:r>
      <w:r w:rsidR="00DC7898">
        <w:rPr>
          <w:rFonts w:ascii="Garamond" w:hAnsi="Garamond"/>
        </w:rPr>
        <w:t>average wages across all industries</w:t>
      </w:r>
      <w:r w:rsidR="00E65656">
        <w:rPr>
          <w:rFonts w:ascii="Garamond" w:hAnsi="Garamond"/>
        </w:rPr>
        <w:t xml:space="preserve"> rising substantially faster</w:t>
      </w:r>
      <w:r w:rsidR="00724C63">
        <w:rPr>
          <w:rFonts w:ascii="Garamond" w:hAnsi="Garamond"/>
        </w:rPr>
        <w:t xml:space="preserve"> at</w:t>
      </w:r>
      <w:r w:rsidR="00E65656">
        <w:rPr>
          <w:rFonts w:ascii="Garamond" w:hAnsi="Garamond"/>
        </w:rPr>
        <w:t xml:space="preserve"> 107.3</w:t>
      </w:r>
      <w:r w:rsidR="001C2121">
        <w:rPr>
          <w:rFonts w:ascii="Garamond" w:hAnsi="Garamond"/>
        </w:rPr>
        <w:t>%</w:t>
      </w:r>
      <w:r w:rsidR="00E65656">
        <w:rPr>
          <w:rFonts w:ascii="Garamond" w:hAnsi="Garamond"/>
        </w:rPr>
        <w:t>, more than doubling over two decades</w:t>
      </w:r>
      <w:r w:rsidR="00413876">
        <w:rPr>
          <w:rFonts w:ascii="Garamond" w:hAnsi="Garamond"/>
        </w:rPr>
        <w:t xml:space="preserve"> compared to teachers who saw an increase of only </w:t>
      </w:r>
      <w:r w:rsidR="00E65656">
        <w:rPr>
          <w:rFonts w:ascii="Garamond" w:hAnsi="Garamond"/>
        </w:rPr>
        <w:t>69.8</w:t>
      </w:r>
      <w:r w:rsidR="00413876">
        <w:rPr>
          <w:rFonts w:ascii="Garamond" w:hAnsi="Garamond"/>
        </w:rPr>
        <w:t>%</w:t>
      </w:r>
      <w:r w:rsidR="00DF37B9">
        <w:rPr>
          <w:rFonts w:ascii="Garamond" w:hAnsi="Garamond"/>
        </w:rPr>
        <w:t xml:space="preserve"> over this</w:t>
      </w:r>
      <w:r>
        <w:rPr>
          <w:rFonts w:ascii="Garamond" w:hAnsi="Garamond"/>
        </w:rPr>
        <w:t xml:space="preserve"> </w:t>
      </w:r>
      <w:r w:rsidR="00E65656">
        <w:rPr>
          <w:rFonts w:ascii="Garamond" w:hAnsi="Garamond"/>
        </w:rPr>
        <w:t>same</w:t>
      </w:r>
      <w:r w:rsidR="00DF37B9">
        <w:rPr>
          <w:rFonts w:ascii="Garamond" w:hAnsi="Garamond"/>
        </w:rPr>
        <w:t xml:space="preserve"> timeframe</w:t>
      </w:r>
      <w:r w:rsidR="00413876">
        <w:rPr>
          <w:rFonts w:ascii="Garamond" w:hAnsi="Garamond"/>
        </w:rPr>
        <w:t>.</w:t>
      </w:r>
      <w:r w:rsidR="00413876" w:rsidRPr="00413876">
        <w:rPr>
          <w:rFonts w:ascii="Garamond" w:hAnsi="Garamond"/>
        </w:rPr>
        <w:t xml:space="preserve"> </w:t>
      </w:r>
      <w:r w:rsidR="00F66F61">
        <w:rPr>
          <w:rFonts w:ascii="Garamond" w:hAnsi="Garamond"/>
        </w:rPr>
        <w:t>(See Chart 6.)</w:t>
      </w:r>
    </w:p>
    <w:p w:rsidR="003D4D49" w:rsidRDefault="003D4D49" w:rsidP="000E5700">
      <w:pPr>
        <w:rPr>
          <w:rFonts w:ascii="Garamond" w:hAnsi="Garamond"/>
        </w:rPr>
      </w:pPr>
    </w:p>
    <w:p w:rsidR="00B57EB2" w:rsidRDefault="00AA32F4" w:rsidP="000E5700">
      <w:pPr>
        <w:rPr>
          <w:rFonts w:ascii="Garamond" w:hAnsi="Garamond"/>
        </w:rPr>
      </w:pPr>
      <w:r w:rsidRPr="00AA32F4">
        <w:rPr>
          <w:noProof/>
        </w:rPr>
        <w:drawing>
          <wp:inline distT="0" distB="0" distL="0" distR="0">
            <wp:extent cx="5487822" cy="4169664"/>
            <wp:effectExtent l="19050" t="0" r="0" b="0"/>
            <wp:docPr id="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5487822" cy="4169664"/>
                    </a:xfrm>
                    <a:prstGeom prst="rect">
                      <a:avLst/>
                    </a:prstGeom>
                    <a:noFill/>
                    <a:ln w="9525">
                      <a:noFill/>
                      <a:miter lim="800000"/>
                      <a:headEnd/>
                      <a:tailEnd/>
                    </a:ln>
                  </pic:spPr>
                </pic:pic>
              </a:graphicData>
            </a:graphic>
          </wp:inline>
        </w:drawing>
      </w:r>
    </w:p>
    <w:p w:rsidR="003A017E" w:rsidRDefault="003A017E" w:rsidP="000E5700">
      <w:pPr>
        <w:rPr>
          <w:rFonts w:ascii="Garamond" w:hAnsi="Garamond"/>
        </w:rPr>
      </w:pPr>
    </w:p>
    <w:p w:rsidR="00D51BF4" w:rsidRDefault="00D51BF4" w:rsidP="000E5700">
      <w:pPr>
        <w:rPr>
          <w:rFonts w:ascii="Garamond" w:hAnsi="Garamond"/>
        </w:rPr>
      </w:pPr>
    </w:p>
    <w:p w:rsidR="00D51BF4" w:rsidRPr="00874DE2" w:rsidRDefault="005D59AA" w:rsidP="000E5700">
      <w:pPr>
        <w:rPr>
          <w:rFonts w:ascii="Garamond" w:hAnsi="Garamond"/>
          <w:b/>
          <w:szCs w:val="24"/>
          <w:u w:val="single"/>
        </w:rPr>
      </w:pPr>
      <w:r w:rsidRPr="00874DE2">
        <w:rPr>
          <w:rFonts w:ascii="Garamond" w:hAnsi="Garamond"/>
          <w:b/>
          <w:szCs w:val="24"/>
          <w:u w:val="single"/>
        </w:rPr>
        <w:t>Wages and Inflation</w:t>
      </w:r>
    </w:p>
    <w:p w:rsidR="00D51BF4" w:rsidRDefault="00D51BF4" w:rsidP="000E5700">
      <w:pPr>
        <w:rPr>
          <w:rFonts w:ascii="Garamond" w:hAnsi="Garamond"/>
        </w:rPr>
      </w:pPr>
    </w:p>
    <w:p w:rsidR="000E5700" w:rsidRDefault="00B57EB2" w:rsidP="000E5700">
      <w:pPr>
        <w:rPr>
          <w:rFonts w:ascii="Garamond" w:hAnsi="Garamond"/>
        </w:rPr>
      </w:pPr>
      <w:r>
        <w:rPr>
          <w:rFonts w:ascii="Garamond" w:hAnsi="Garamond"/>
        </w:rPr>
        <w:t>O</w:t>
      </w:r>
      <w:r w:rsidR="00DF37B9">
        <w:rPr>
          <w:rFonts w:ascii="Garamond" w:hAnsi="Garamond"/>
        </w:rPr>
        <w:t xml:space="preserve">ne consequence of relatively faster </w:t>
      </w:r>
      <w:r>
        <w:rPr>
          <w:rFonts w:ascii="Garamond" w:hAnsi="Garamond"/>
        </w:rPr>
        <w:t>and</w:t>
      </w:r>
      <w:r w:rsidR="00DC7898">
        <w:rPr>
          <w:rFonts w:ascii="Garamond" w:hAnsi="Garamond"/>
        </w:rPr>
        <w:t xml:space="preserve"> slower rate</w:t>
      </w:r>
      <w:r w:rsidR="00DF37B9">
        <w:rPr>
          <w:rFonts w:ascii="Garamond" w:hAnsi="Garamond"/>
        </w:rPr>
        <w:t>s</w:t>
      </w:r>
      <w:r w:rsidR="00DC7898">
        <w:rPr>
          <w:rFonts w:ascii="Garamond" w:hAnsi="Garamond"/>
        </w:rPr>
        <w:t xml:space="preserve"> of wage growth w</w:t>
      </w:r>
      <w:r w:rsidR="00DF37B9">
        <w:rPr>
          <w:rFonts w:ascii="Garamond" w:hAnsi="Garamond"/>
        </w:rPr>
        <w:t xml:space="preserve">as </w:t>
      </w:r>
      <w:r w:rsidR="00E65656">
        <w:rPr>
          <w:rFonts w:ascii="Garamond" w:hAnsi="Garamond"/>
        </w:rPr>
        <w:t>a notable difference in</w:t>
      </w:r>
      <w:r w:rsidR="00DF37B9">
        <w:rPr>
          <w:rFonts w:ascii="Garamond" w:hAnsi="Garamond"/>
        </w:rPr>
        <w:t xml:space="preserve"> </w:t>
      </w:r>
      <w:r w:rsidR="00E65656">
        <w:rPr>
          <w:rFonts w:ascii="Garamond" w:hAnsi="Garamond"/>
        </w:rPr>
        <w:t>gains of</w:t>
      </w:r>
      <w:r w:rsidR="00DC7898">
        <w:rPr>
          <w:rFonts w:ascii="Garamond" w:hAnsi="Garamond"/>
        </w:rPr>
        <w:t xml:space="preserve"> purchasing power over the </w:t>
      </w:r>
      <w:r w:rsidR="00E65656">
        <w:rPr>
          <w:rFonts w:ascii="Garamond" w:hAnsi="Garamond"/>
        </w:rPr>
        <w:t>20</w:t>
      </w:r>
      <w:r w:rsidR="00DC7898">
        <w:rPr>
          <w:rFonts w:ascii="Garamond" w:hAnsi="Garamond"/>
        </w:rPr>
        <w:t xml:space="preserve">-year period. </w:t>
      </w:r>
      <w:r w:rsidR="005452B8">
        <w:rPr>
          <w:rFonts w:ascii="Garamond" w:hAnsi="Garamond"/>
        </w:rPr>
        <w:t xml:space="preserve">After adjusting </w:t>
      </w:r>
      <w:r w:rsidR="00DC7898">
        <w:rPr>
          <w:rFonts w:ascii="Garamond" w:hAnsi="Garamond"/>
        </w:rPr>
        <w:t xml:space="preserve">for inflation, </w:t>
      </w:r>
      <w:r w:rsidR="00DF37B9">
        <w:rPr>
          <w:rFonts w:ascii="Garamond" w:hAnsi="Garamond"/>
        </w:rPr>
        <w:t>workers</w:t>
      </w:r>
      <w:r w:rsidR="002D1FDB">
        <w:rPr>
          <w:rFonts w:ascii="Garamond" w:hAnsi="Garamond"/>
        </w:rPr>
        <w:t xml:space="preserve"> across all industries</w:t>
      </w:r>
      <w:r w:rsidR="00DF37B9">
        <w:rPr>
          <w:rFonts w:ascii="Garamond" w:hAnsi="Garamond"/>
        </w:rPr>
        <w:t xml:space="preserve"> earning an average of $</w:t>
      </w:r>
      <w:r w:rsidR="00E65656">
        <w:rPr>
          <w:rFonts w:ascii="Garamond" w:hAnsi="Garamond"/>
        </w:rPr>
        <w:t>31,094 in 1995</w:t>
      </w:r>
      <w:r w:rsidR="00DF37B9">
        <w:rPr>
          <w:rFonts w:ascii="Garamond" w:hAnsi="Garamond"/>
        </w:rPr>
        <w:t xml:space="preserve"> we</w:t>
      </w:r>
      <w:r w:rsidR="00E65656">
        <w:rPr>
          <w:rFonts w:ascii="Garamond" w:hAnsi="Garamond"/>
        </w:rPr>
        <w:t>re earning the equivalent of $42,238</w:t>
      </w:r>
      <w:r w:rsidR="00DF37B9">
        <w:rPr>
          <w:rFonts w:ascii="Garamond" w:hAnsi="Garamond"/>
        </w:rPr>
        <w:t xml:space="preserve"> as of 2014. This translates</w:t>
      </w:r>
      <w:r w:rsidR="00E65656">
        <w:rPr>
          <w:rFonts w:ascii="Garamond" w:hAnsi="Garamond"/>
        </w:rPr>
        <w:t xml:space="preserve"> to a 35.8</w:t>
      </w:r>
      <w:r w:rsidR="00DF37B9">
        <w:rPr>
          <w:rFonts w:ascii="Garamond" w:hAnsi="Garamond"/>
        </w:rPr>
        <w:t xml:space="preserve">%-gain in purchasing power. </w:t>
      </w:r>
      <w:r w:rsidR="005452B8">
        <w:rPr>
          <w:rFonts w:ascii="Garamond" w:hAnsi="Garamond"/>
        </w:rPr>
        <w:t>In contrast, teachers</w:t>
      </w:r>
      <w:r w:rsidR="00E65656">
        <w:rPr>
          <w:rFonts w:ascii="Garamond" w:hAnsi="Garamond"/>
        </w:rPr>
        <w:t xml:space="preserve"> earning an average $30,773</w:t>
      </w:r>
      <w:r w:rsidR="00DF37B9">
        <w:rPr>
          <w:rFonts w:ascii="Garamond" w:hAnsi="Garamond"/>
        </w:rPr>
        <w:t xml:space="preserve"> in </w:t>
      </w:r>
      <w:r w:rsidR="00E65656">
        <w:rPr>
          <w:rFonts w:ascii="Garamond" w:hAnsi="Garamond"/>
        </w:rPr>
        <w:t>1995</w:t>
      </w:r>
      <w:r w:rsidR="00DF37B9">
        <w:rPr>
          <w:rFonts w:ascii="Garamond" w:hAnsi="Garamond"/>
        </w:rPr>
        <w:t xml:space="preserve"> we</w:t>
      </w:r>
      <w:r w:rsidR="00E65656">
        <w:rPr>
          <w:rFonts w:ascii="Garamond" w:hAnsi="Garamond"/>
        </w:rPr>
        <w:t>re earning the equivalent of $34,231</w:t>
      </w:r>
      <w:r w:rsidR="00DF37B9">
        <w:rPr>
          <w:rFonts w:ascii="Garamond" w:hAnsi="Garamond"/>
        </w:rPr>
        <w:t xml:space="preserve"> </w:t>
      </w:r>
      <w:r w:rsidR="00E65656">
        <w:rPr>
          <w:rFonts w:ascii="Garamond" w:hAnsi="Garamond"/>
        </w:rPr>
        <w:t>two decades</w:t>
      </w:r>
      <w:r w:rsidR="00DF37B9">
        <w:rPr>
          <w:rFonts w:ascii="Garamond" w:hAnsi="Garamond"/>
        </w:rPr>
        <w:t xml:space="preserve"> later</w:t>
      </w:r>
      <w:r w:rsidR="002D1FDB">
        <w:rPr>
          <w:rFonts w:ascii="Garamond" w:hAnsi="Garamond"/>
        </w:rPr>
        <w:t xml:space="preserve"> for a </w:t>
      </w:r>
      <w:r w:rsidR="00E65656">
        <w:rPr>
          <w:rFonts w:ascii="Garamond" w:hAnsi="Garamond"/>
        </w:rPr>
        <w:t xml:space="preserve">comparatively smaller </w:t>
      </w:r>
      <w:r w:rsidR="00DF37B9">
        <w:rPr>
          <w:rFonts w:ascii="Garamond" w:hAnsi="Garamond"/>
        </w:rPr>
        <w:t xml:space="preserve">real </w:t>
      </w:r>
      <w:r w:rsidR="00E65656">
        <w:rPr>
          <w:rFonts w:ascii="Garamond" w:hAnsi="Garamond"/>
        </w:rPr>
        <w:t xml:space="preserve">gain </w:t>
      </w:r>
      <w:r w:rsidR="00DF37B9">
        <w:rPr>
          <w:rFonts w:ascii="Garamond" w:hAnsi="Garamond"/>
        </w:rPr>
        <w:t>of</w:t>
      </w:r>
      <w:r w:rsidR="00E65656">
        <w:rPr>
          <w:rFonts w:ascii="Garamond" w:hAnsi="Garamond"/>
        </w:rPr>
        <w:t xml:space="preserve"> 11.2</w:t>
      </w:r>
      <w:r w:rsidR="005452B8">
        <w:rPr>
          <w:rFonts w:ascii="Garamond" w:hAnsi="Garamond"/>
        </w:rPr>
        <w:t>%.</w:t>
      </w:r>
      <w:r w:rsidR="00735B95">
        <w:rPr>
          <w:rFonts w:ascii="Garamond" w:hAnsi="Garamond"/>
        </w:rPr>
        <w:t xml:space="preserve"> </w:t>
      </w:r>
      <w:r w:rsidR="00724C63">
        <w:rPr>
          <w:rFonts w:ascii="Garamond" w:hAnsi="Garamond"/>
        </w:rPr>
        <w:t>It is worth noting that</w:t>
      </w:r>
      <w:r w:rsidR="005F0892">
        <w:rPr>
          <w:rFonts w:ascii="Garamond" w:hAnsi="Garamond"/>
        </w:rPr>
        <w:t xml:space="preserve"> these long-term</w:t>
      </w:r>
      <w:r w:rsidR="00724C63">
        <w:rPr>
          <w:rFonts w:ascii="Garamond" w:hAnsi="Garamond"/>
        </w:rPr>
        <w:t xml:space="preserve"> wage</w:t>
      </w:r>
      <w:r w:rsidR="00735B95">
        <w:rPr>
          <w:rFonts w:ascii="Garamond" w:hAnsi="Garamond"/>
        </w:rPr>
        <w:t xml:space="preserve"> gains</w:t>
      </w:r>
      <w:r w:rsidR="00724C63">
        <w:rPr>
          <w:rFonts w:ascii="Garamond" w:hAnsi="Garamond"/>
        </w:rPr>
        <w:t xml:space="preserve"> among teachers</w:t>
      </w:r>
      <w:r w:rsidR="00735B95">
        <w:rPr>
          <w:rFonts w:ascii="Garamond" w:hAnsi="Garamond"/>
        </w:rPr>
        <w:t xml:space="preserve"> belie the </w:t>
      </w:r>
      <w:r w:rsidR="00342AA2">
        <w:rPr>
          <w:rFonts w:ascii="Garamond" w:hAnsi="Garamond"/>
        </w:rPr>
        <w:t>likelihood</w:t>
      </w:r>
      <w:r w:rsidR="00735B95">
        <w:rPr>
          <w:rFonts w:ascii="Garamond" w:hAnsi="Garamond"/>
        </w:rPr>
        <w:t xml:space="preserve"> that</w:t>
      </w:r>
      <w:r w:rsidR="00342AA2">
        <w:rPr>
          <w:rFonts w:ascii="Garamond" w:hAnsi="Garamond"/>
        </w:rPr>
        <w:t xml:space="preserve"> </w:t>
      </w:r>
      <w:r w:rsidR="00724C63">
        <w:rPr>
          <w:rFonts w:ascii="Garamond" w:hAnsi="Garamond"/>
        </w:rPr>
        <w:t>individuals entering the</w:t>
      </w:r>
      <w:r w:rsidR="00342AA2">
        <w:rPr>
          <w:rFonts w:ascii="Garamond" w:hAnsi="Garamond"/>
        </w:rPr>
        <w:t xml:space="preserve"> profession during the 2000s in many cases </w:t>
      </w:r>
      <w:r w:rsidR="005F0892">
        <w:rPr>
          <w:rFonts w:ascii="Garamond" w:hAnsi="Garamond"/>
        </w:rPr>
        <w:t xml:space="preserve">would have </w:t>
      </w:r>
      <w:r w:rsidR="00342AA2">
        <w:rPr>
          <w:rFonts w:ascii="Garamond" w:hAnsi="Garamond"/>
        </w:rPr>
        <w:t xml:space="preserve">been earning less in real terms by 2014. </w:t>
      </w:r>
      <w:r w:rsidR="00F66F61">
        <w:rPr>
          <w:rFonts w:ascii="Garamond" w:hAnsi="Garamond"/>
        </w:rPr>
        <w:t>(See Chart 7.)</w:t>
      </w:r>
    </w:p>
    <w:p w:rsidR="00426309" w:rsidRDefault="00426309" w:rsidP="000E5700">
      <w:pPr>
        <w:rPr>
          <w:rFonts w:ascii="Garamond" w:hAnsi="Garamond"/>
        </w:rPr>
      </w:pPr>
    </w:p>
    <w:p w:rsidR="00DC2896" w:rsidRDefault="00E67942" w:rsidP="000E5700">
      <w:pPr>
        <w:rPr>
          <w:rFonts w:ascii="Garamond" w:hAnsi="Garamond"/>
        </w:rPr>
      </w:pPr>
      <w:r w:rsidRPr="00E67942">
        <w:rPr>
          <w:noProof/>
        </w:rPr>
        <w:lastRenderedPageBreak/>
        <w:drawing>
          <wp:inline distT="0" distB="0" distL="0" distR="0">
            <wp:extent cx="5486400" cy="4165897"/>
            <wp:effectExtent l="1905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5486400" cy="4165897"/>
                    </a:xfrm>
                    <a:prstGeom prst="rect">
                      <a:avLst/>
                    </a:prstGeom>
                    <a:noFill/>
                    <a:ln w="9525">
                      <a:noFill/>
                      <a:miter lim="800000"/>
                      <a:headEnd/>
                      <a:tailEnd/>
                    </a:ln>
                  </pic:spPr>
                </pic:pic>
              </a:graphicData>
            </a:graphic>
          </wp:inline>
        </w:drawing>
      </w:r>
    </w:p>
    <w:p w:rsidR="003734BB" w:rsidRDefault="003734BB" w:rsidP="000E5700">
      <w:pPr>
        <w:rPr>
          <w:rFonts w:ascii="Garamond" w:hAnsi="Garamond"/>
        </w:rPr>
      </w:pPr>
    </w:p>
    <w:p w:rsidR="003734BB" w:rsidRDefault="003734BB" w:rsidP="000E5700">
      <w:pPr>
        <w:rPr>
          <w:rFonts w:ascii="Garamond" w:hAnsi="Garamond"/>
        </w:rPr>
      </w:pPr>
    </w:p>
    <w:p w:rsidR="005D59AA" w:rsidRPr="00874DE2" w:rsidRDefault="005D59AA" w:rsidP="005D59AA">
      <w:pPr>
        <w:pStyle w:val="Heading7"/>
        <w:spacing w:after="0"/>
        <w:rPr>
          <w:rFonts w:ascii="Garamond" w:hAnsi="Garamond"/>
          <w:sz w:val="24"/>
          <w:szCs w:val="24"/>
          <w:u w:val="single"/>
        </w:rPr>
      </w:pPr>
      <w:r w:rsidRPr="00874DE2">
        <w:rPr>
          <w:rFonts w:ascii="Garamond" w:hAnsi="Garamond"/>
          <w:sz w:val="24"/>
          <w:szCs w:val="24"/>
          <w:u w:val="single"/>
        </w:rPr>
        <w:t xml:space="preserve">Turnover </w:t>
      </w:r>
      <w:r w:rsidR="00483CDB" w:rsidRPr="00874DE2">
        <w:rPr>
          <w:rFonts w:ascii="Garamond" w:hAnsi="Garamond"/>
          <w:sz w:val="24"/>
          <w:szCs w:val="24"/>
          <w:u w:val="single"/>
        </w:rPr>
        <w:t>and the Impact on Teachers’ Years of Experience</w:t>
      </w:r>
    </w:p>
    <w:p w:rsidR="005D59AA" w:rsidRDefault="005D59AA" w:rsidP="005D59AA">
      <w:pPr>
        <w:pStyle w:val="Heading7"/>
        <w:spacing w:after="0"/>
        <w:rPr>
          <w:rFonts w:ascii="Garamond" w:hAnsi="Garamond"/>
          <w:sz w:val="24"/>
          <w:szCs w:val="24"/>
        </w:rPr>
      </w:pPr>
    </w:p>
    <w:p w:rsidR="005D59AA" w:rsidRPr="00A9372A" w:rsidRDefault="005D59AA" w:rsidP="005D59AA">
      <w:pPr>
        <w:pStyle w:val="Heading7"/>
        <w:spacing w:after="0"/>
        <w:rPr>
          <w:rFonts w:ascii="Garamond" w:hAnsi="Garamond"/>
          <w:b w:val="0"/>
          <w:sz w:val="24"/>
          <w:szCs w:val="24"/>
        </w:rPr>
      </w:pPr>
      <w:r>
        <w:rPr>
          <w:rFonts w:ascii="Garamond" w:hAnsi="Garamond"/>
          <w:b w:val="0"/>
          <w:sz w:val="24"/>
          <w:szCs w:val="24"/>
        </w:rPr>
        <w:t>Teacher turnover</w:t>
      </w:r>
      <w:r w:rsidR="003F38F6">
        <w:rPr>
          <w:rFonts w:ascii="Garamond" w:hAnsi="Garamond"/>
          <w:b w:val="0"/>
          <w:sz w:val="24"/>
          <w:szCs w:val="24"/>
        </w:rPr>
        <w:t>, which can be voluntary or involuntary,</w:t>
      </w:r>
      <w:r>
        <w:rPr>
          <w:rFonts w:ascii="Garamond" w:hAnsi="Garamond"/>
          <w:b w:val="0"/>
          <w:sz w:val="24"/>
          <w:szCs w:val="24"/>
        </w:rPr>
        <w:t xml:space="preserve"> is a complex phenomenon influenced by various factors such as burnout, poor working conditions, </w:t>
      </w:r>
      <w:r w:rsidR="003F38F6">
        <w:rPr>
          <w:rFonts w:ascii="Garamond" w:hAnsi="Garamond"/>
          <w:b w:val="0"/>
          <w:sz w:val="24"/>
          <w:szCs w:val="24"/>
        </w:rPr>
        <w:t>pressure to raise</w:t>
      </w:r>
      <w:r>
        <w:rPr>
          <w:rFonts w:ascii="Garamond" w:hAnsi="Garamond"/>
          <w:b w:val="0"/>
          <w:sz w:val="24"/>
          <w:szCs w:val="24"/>
        </w:rPr>
        <w:t xml:space="preserve"> student test scores, budget-related layoffs, and wages that fail to keep up with the cost of living. An increase in turnover is of concern as it can adversely impact the pipeline of future talent and lead to an inconsistent quality of instruction from </w:t>
      </w:r>
      <w:r w:rsidR="00B5622C">
        <w:rPr>
          <w:rFonts w:ascii="Garamond" w:hAnsi="Garamond"/>
          <w:b w:val="0"/>
          <w:sz w:val="24"/>
          <w:szCs w:val="24"/>
        </w:rPr>
        <w:t xml:space="preserve">one </w:t>
      </w:r>
      <w:r>
        <w:rPr>
          <w:rFonts w:ascii="Garamond" w:hAnsi="Garamond"/>
          <w:b w:val="0"/>
          <w:sz w:val="24"/>
          <w:szCs w:val="24"/>
        </w:rPr>
        <w:t xml:space="preserve">school year to </w:t>
      </w:r>
      <w:r w:rsidR="00B5622C">
        <w:rPr>
          <w:rFonts w:ascii="Garamond" w:hAnsi="Garamond"/>
          <w:b w:val="0"/>
          <w:sz w:val="24"/>
          <w:szCs w:val="24"/>
        </w:rPr>
        <w:t>the next</w:t>
      </w:r>
      <w:r>
        <w:rPr>
          <w:rFonts w:ascii="Garamond" w:hAnsi="Garamond"/>
          <w:b w:val="0"/>
          <w:sz w:val="24"/>
          <w:szCs w:val="24"/>
        </w:rPr>
        <w:t xml:space="preserve">. </w:t>
      </w:r>
      <w:r w:rsidR="004D1297">
        <w:rPr>
          <w:rFonts w:ascii="Garamond" w:hAnsi="Garamond"/>
          <w:b w:val="0"/>
          <w:sz w:val="24"/>
          <w:szCs w:val="24"/>
        </w:rPr>
        <w:t xml:space="preserve">After a steep increase in the mid-1990s, teacher turnover oscillated between 13.8% and 17%, the latter rate registering as the 20-year high, until the onset of the Great Recession in late 2007. </w:t>
      </w:r>
      <w:r w:rsidR="00A9118C">
        <w:rPr>
          <w:rFonts w:ascii="Garamond" w:hAnsi="Garamond"/>
          <w:b w:val="0"/>
          <w:sz w:val="24"/>
          <w:szCs w:val="24"/>
        </w:rPr>
        <w:t>As th</w:t>
      </w:r>
      <w:r w:rsidR="003F38F6">
        <w:rPr>
          <w:rFonts w:ascii="Garamond" w:hAnsi="Garamond"/>
          <w:b w:val="0"/>
          <w:sz w:val="24"/>
          <w:szCs w:val="24"/>
        </w:rPr>
        <w:t>e effects of the recession intensified</w:t>
      </w:r>
      <w:r w:rsidR="00A9118C">
        <w:rPr>
          <w:rFonts w:ascii="Garamond" w:hAnsi="Garamond"/>
          <w:b w:val="0"/>
          <w:sz w:val="24"/>
          <w:szCs w:val="24"/>
        </w:rPr>
        <w:t>,</w:t>
      </w:r>
      <w:r w:rsidR="00B5622C">
        <w:rPr>
          <w:rFonts w:ascii="Garamond" w:hAnsi="Garamond"/>
          <w:b w:val="0"/>
          <w:sz w:val="24"/>
          <w:szCs w:val="24"/>
        </w:rPr>
        <w:t xml:space="preserve"> many teachers opted to remain in their positions given the level of economic uncertainty, and consequently</w:t>
      </w:r>
      <w:r w:rsidR="00A9118C">
        <w:rPr>
          <w:rFonts w:ascii="Garamond" w:hAnsi="Garamond"/>
          <w:b w:val="0"/>
          <w:sz w:val="24"/>
          <w:szCs w:val="24"/>
        </w:rPr>
        <w:t xml:space="preserve"> turnover rates plunged reaching the second-lowest level </w:t>
      </w:r>
      <w:r w:rsidR="00B5622C">
        <w:rPr>
          <w:rFonts w:ascii="Garamond" w:hAnsi="Garamond"/>
          <w:b w:val="0"/>
          <w:sz w:val="24"/>
          <w:szCs w:val="24"/>
        </w:rPr>
        <w:t>in 20 years</w:t>
      </w:r>
      <w:r w:rsidR="00A9118C">
        <w:rPr>
          <w:rFonts w:ascii="Garamond" w:hAnsi="Garamond"/>
          <w:b w:val="0"/>
          <w:sz w:val="24"/>
          <w:szCs w:val="24"/>
        </w:rPr>
        <w:t xml:space="preserve"> at 11.8</w:t>
      </w:r>
      <w:r>
        <w:rPr>
          <w:rFonts w:ascii="Garamond" w:hAnsi="Garamond"/>
          <w:b w:val="0"/>
          <w:sz w:val="24"/>
          <w:szCs w:val="24"/>
        </w:rPr>
        <w:t>% in 2009-2010. Since that school year, t</w:t>
      </w:r>
      <w:r w:rsidR="00A9118C">
        <w:rPr>
          <w:rFonts w:ascii="Garamond" w:hAnsi="Garamond"/>
          <w:b w:val="0"/>
          <w:sz w:val="24"/>
          <w:szCs w:val="24"/>
        </w:rPr>
        <w:t>urnover has</w:t>
      </w:r>
      <w:r w:rsidR="00B5622C">
        <w:rPr>
          <w:rFonts w:ascii="Garamond" w:hAnsi="Garamond"/>
          <w:b w:val="0"/>
          <w:sz w:val="24"/>
          <w:szCs w:val="24"/>
        </w:rPr>
        <w:t xml:space="preserve"> once again surged, hitting</w:t>
      </w:r>
      <w:r w:rsidR="00A9118C">
        <w:rPr>
          <w:rFonts w:ascii="Garamond" w:hAnsi="Garamond"/>
          <w:b w:val="0"/>
          <w:sz w:val="24"/>
          <w:szCs w:val="24"/>
        </w:rPr>
        <w:t xml:space="preserve"> 16</w:t>
      </w:r>
      <w:r>
        <w:rPr>
          <w:rFonts w:ascii="Garamond" w:hAnsi="Garamond"/>
          <w:b w:val="0"/>
          <w:sz w:val="24"/>
          <w:szCs w:val="24"/>
        </w:rPr>
        <w:t>.4%</w:t>
      </w:r>
      <w:r w:rsidR="00B5622C">
        <w:rPr>
          <w:rFonts w:ascii="Garamond" w:hAnsi="Garamond"/>
          <w:b w:val="0"/>
          <w:sz w:val="24"/>
          <w:szCs w:val="24"/>
        </w:rPr>
        <w:t xml:space="preserve"> and</w:t>
      </w:r>
      <w:r>
        <w:rPr>
          <w:rFonts w:ascii="Garamond" w:hAnsi="Garamond"/>
          <w:b w:val="0"/>
          <w:sz w:val="24"/>
          <w:szCs w:val="24"/>
        </w:rPr>
        <w:t xml:space="preserve"> </w:t>
      </w:r>
      <w:r w:rsidR="00A9118C">
        <w:rPr>
          <w:rFonts w:ascii="Garamond" w:hAnsi="Garamond"/>
          <w:b w:val="0"/>
          <w:sz w:val="24"/>
          <w:szCs w:val="24"/>
        </w:rPr>
        <w:t>reaching levels not seen in almost 15 years</w:t>
      </w:r>
      <w:r>
        <w:rPr>
          <w:rFonts w:ascii="Garamond" w:hAnsi="Garamond"/>
          <w:b w:val="0"/>
          <w:sz w:val="24"/>
          <w:szCs w:val="24"/>
        </w:rPr>
        <w:t xml:space="preserve">. Unlike the modest improvements in staffing and </w:t>
      </w:r>
      <w:r w:rsidR="00A9118C">
        <w:rPr>
          <w:rFonts w:ascii="Garamond" w:hAnsi="Garamond"/>
          <w:b w:val="0"/>
          <w:sz w:val="24"/>
          <w:szCs w:val="24"/>
        </w:rPr>
        <w:t>student-teacher ratios</w:t>
      </w:r>
      <w:r>
        <w:rPr>
          <w:rFonts w:ascii="Garamond" w:hAnsi="Garamond"/>
          <w:b w:val="0"/>
          <w:sz w:val="24"/>
          <w:szCs w:val="24"/>
        </w:rPr>
        <w:t xml:space="preserve"> related to a partially restored education budget, teacher turnover has shown no signs of abating as of the 2013-2014 school year.</w:t>
      </w:r>
      <w:r w:rsidR="0081095A">
        <w:rPr>
          <w:rFonts w:ascii="Garamond" w:hAnsi="Garamond"/>
          <w:b w:val="0"/>
          <w:sz w:val="24"/>
          <w:szCs w:val="24"/>
        </w:rPr>
        <w:t xml:space="preserve"> (See Chart 8.)</w:t>
      </w:r>
      <w:r w:rsidR="00625C58">
        <w:rPr>
          <w:rStyle w:val="FootnoteReference"/>
          <w:rFonts w:ascii="Garamond" w:hAnsi="Garamond"/>
          <w:b w:val="0"/>
          <w:sz w:val="24"/>
          <w:szCs w:val="24"/>
        </w:rPr>
        <w:footnoteReference w:id="3"/>
      </w:r>
      <w:r>
        <w:rPr>
          <w:rFonts w:ascii="Garamond" w:hAnsi="Garamond"/>
          <w:b w:val="0"/>
          <w:sz w:val="24"/>
          <w:szCs w:val="24"/>
        </w:rPr>
        <w:t xml:space="preserve">  </w:t>
      </w:r>
    </w:p>
    <w:p w:rsidR="005D59AA" w:rsidRDefault="005D59AA" w:rsidP="000E5700">
      <w:pPr>
        <w:rPr>
          <w:rFonts w:ascii="Garamond" w:hAnsi="Garamond"/>
        </w:rPr>
      </w:pPr>
    </w:p>
    <w:p w:rsidR="00D12158" w:rsidRPr="00F44EBC" w:rsidRDefault="007E4433" w:rsidP="00D12158">
      <w:r w:rsidRPr="007E4433">
        <w:rPr>
          <w:noProof/>
        </w:rPr>
        <w:lastRenderedPageBreak/>
        <w:drawing>
          <wp:inline distT="0" distB="0" distL="0" distR="0">
            <wp:extent cx="5486400" cy="3433489"/>
            <wp:effectExtent l="19050" t="0" r="0" b="0"/>
            <wp:docPr id="2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srcRect/>
                    <a:stretch>
                      <a:fillRect/>
                    </a:stretch>
                  </pic:blipFill>
                  <pic:spPr bwMode="auto">
                    <a:xfrm>
                      <a:off x="0" y="0"/>
                      <a:ext cx="5486400" cy="3433489"/>
                    </a:xfrm>
                    <a:prstGeom prst="rect">
                      <a:avLst/>
                    </a:prstGeom>
                    <a:noFill/>
                    <a:ln w="9525">
                      <a:noFill/>
                      <a:miter lim="800000"/>
                      <a:headEnd/>
                      <a:tailEnd/>
                    </a:ln>
                  </pic:spPr>
                </pic:pic>
              </a:graphicData>
            </a:graphic>
          </wp:inline>
        </w:drawing>
      </w:r>
    </w:p>
    <w:p w:rsidR="00483CDB" w:rsidRDefault="00483CDB" w:rsidP="00A9372A"/>
    <w:p w:rsidR="00D063CB" w:rsidRPr="00D063CB" w:rsidRDefault="004209BB" w:rsidP="00A9372A">
      <w:pPr>
        <w:rPr>
          <w:rFonts w:ascii="Garamond" w:hAnsi="Garamond"/>
          <w:color w:val="000000"/>
          <w:szCs w:val="24"/>
        </w:rPr>
      </w:pPr>
      <w:r>
        <w:rPr>
          <w:rFonts w:ascii="Garamond" w:hAnsi="Garamond"/>
          <w:color w:val="000000"/>
          <w:szCs w:val="24"/>
        </w:rPr>
        <w:t>S</w:t>
      </w:r>
      <w:r w:rsidRPr="00D063CB">
        <w:rPr>
          <w:rFonts w:ascii="Garamond" w:hAnsi="Garamond"/>
          <w:color w:val="000000"/>
          <w:szCs w:val="24"/>
        </w:rPr>
        <w:t xml:space="preserve">tudies have shown that teachers </w:t>
      </w:r>
      <w:r w:rsidR="00E353B2">
        <w:rPr>
          <w:rFonts w:ascii="Garamond" w:hAnsi="Garamond"/>
          <w:color w:val="000000"/>
          <w:szCs w:val="24"/>
        </w:rPr>
        <w:t>begin to achieve significant gains in</w:t>
      </w:r>
      <w:r w:rsidRPr="00D063CB">
        <w:rPr>
          <w:rFonts w:ascii="Garamond" w:hAnsi="Garamond"/>
          <w:color w:val="000000"/>
          <w:szCs w:val="24"/>
        </w:rPr>
        <w:t xml:space="preserve"> effectiveness</w:t>
      </w:r>
      <w:r w:rsidR="00A77C2A">
        <w:rPr>
          <w:rFonts w:ascii="Garamond" w:hAnsi="Garamond"/>
          <w:color w:val="000000"/>
          <w:szCs w:val="24"/>
        </w:rPr>
        <w:t xml:space="preserve"> as instructor</w:t>
      </w:r>
      <w:r w:rsidR="00483CDB">
        <w:rPr>
          <w:rFonts w:ascii="Garamond" w:hAnsi="Garamond"/>
          <w:color w:val="000000"/>
          <w:szCs w:val="24"/>
        </w:rPr>
        <w:t>s</w:t>
      </w:r>
      <w:r>
        <w:rPr>
          <w:rFonts w:ascii="Garamond" w:hAnsi="Garamond"/>
          <w:color w:val="000000"/>
          <w:szCs w:val="24"/>
        </w:rPr>
        <w:t xml:space="preserve"> at </w:t>
      </w:r>
      <w:r w:rsidRPr="00D063CB">
        <w:rPr>
          <w:rFonts w:ascii="Garamond" w:hAnsi="Garamond"/>
          <w:color w:val="000000"/>
          <w:szCs w:val="24"/>
        </w:rPr>
        <w:t>around the five-year mark.</w:t>
      </w:r>
      <w:r>
        <w:rPr>
          <w:rStyle w:val="EndnoteReference"/>
          <w:rFonts w:ascii="Garamond" w:hAnsi="Garamond"/>
          <w:color w:val="000000"/>
          <w:szCs w:val="24"/>
        </w:rPr>
        <w:endnoteReference w:id="5"/>
      </w:r>
      <w:r>
        <w:rPr>
          <w:rFonts w:ascii="Garamond" w:hAnsi="Garamond"/>
          <w:color w:val="000000"/>
          <w:szCs w:val="24"/>
        </w:rPr>
        <w:t xml:space="preserve"> </w:t>
      </w:r>
      <w:r w:rsidR="0073129F">
        <w:rPr>
          <w:rFonts w:ascii="Garamond" w:hAnsi="Garamond"/>
          <w:color w:val="000000"/>
          <w:szCs w:val="24"/>
        </w:rPr>
        <w:t>Unfortunately,</w:t>
      </w:r>
      <w:r w:rsidR="00154812">
        <w:rPr>
          <w:rFonts w:ascii="Garamond" w:hAnsi="Garamond"/>
          <w:color w:val="000000"/>
          <w:szCs w:val="24"/>
        </w:rPr>
        <w:t xml:space="preserve"> </w:t>
      </w:r>
      <w:r w:rsidR="002978F0" w:rsidRPr="002978F0">
        <w:rPr>
          <w:rFonts w:ascii="Garamond" w:hAnsi="Garamond"/>
          <w:color w:val="000000"/>
          <w:szCs w:val="24"/>
        </w:rPr>
        <w:t xml:space="preserve">40% </w:t>
      </w:r>
      <w:r w:rsidR="002978F0">
        <w:rPr>
          <w:rFonts w:ascii="Garamond" w:hAnsi="Garamond"/>
          <w:color w:val="000000"/>
          <w:szCs w:val="24"/>
        </w:rPr>
        <w:t>to</w:t>
      </w:r>
      <w:r w:rsidR="002978F0" w:rsidRPr="002978F0">
        <w:rPr>
          <w:rFonts w:ascii="Garamond" w:hAnsi="Garamond"/>
          <w:color w:val="000000"/>
          <w:szCs w:val="24"/>
        </w:rPr>
        <w:t xml:space="preserve"> 50% of new teachers</w:t>
      </w:r>
      <w:r w:rsidR="00E353B2">
        <w:rPr>
          <w:rFonts w:ascii="Garamond" w:hAnsi="Garamond"/>
          <w:color w:val="000000"/>
          <w:szCs w:val="24"/>
        </w:rPr>
        <w:t xml:space="preserve"> also</w:t>
      </w:r>
      <w:r w:rsidR="002978F0" w:rsidRPr="002978F0">
        <w:rPr>
          <w:rFonts w:ascii="Garamond" w:hAnsi="Garamond"/>
          <w:color w:val="000000"/>
          <w:szCs w:val="24"/>
        </w:rPr>
        <w:t xml:space="preserve"> leave </w:t>
      </w:r>
      <w:r w:rsidR="002978F0">
        <w:rPr>
          <w:rFonts w:ascii="Garamond" w:hAnsi="Garamond"/>
          <w:color w:val="000000"/>
          <w:szCs w:val="24"/>
        </w:rPr>
        <w:t>the profession</w:t>
      </w:r>
      <w:r w:rsidR="002978F0" w:rsidRPr="002978F0">
        <w:rPr>
          <w:rFonts w:ascii="Garamond" w:hAnsi="Garamond"/>
          <w:color w:val="000000"/>
          <w:szCs w:val="24"/>
        </w:rPr>
        <w:t xml:space="preserve"> </w:t>
      </w:r>
      <w:r w:rsidR="002978F0">
        <w:rPr>
          <w:rFonts w:ascii="Garamond" w:hAnsi="Garamond"/>
          <w:color w:val="000000"/>
          <w:szCs w:val="24"/>
        </w:rPr>
        <w:t>within the</w:t>
      </w:r>
      <w:r w:rsidR="002978F0" w:rsidRPr="002978F0">
        <w:rPr>
          <w:rFonts w:ascii="Garamond" w:hAnsi="Garamond"/>
          <w:color w:val="000000"/>
          <w:szCs w:val="24"/>
        </w:rPr>
        <w:t xml:space="preserve"> first five years.</w:t>
      </w:r>
      <w:r w:rsidR="00B63228">
        <w:rPr>
          <w:rStyle w:val="EndnoteReference"/>
          <w:rFonts w:ascii="Garamond" w:hAnsi="Garamond"/>
          <w:color w:val="000000"/>
          <w:szCs w:val="24"/>
        </w:rPr>
        <w:endnoteReference w:id="6"/>
      </w:r>
      <w:r w:rsidR="002978F0">
        <w:rPr>
          <w:rFonts w:ascii="Garamond" w:hAnsi="Garamond"/>
          <w:color w:val="000000"/>
          <w:szCs w:val="24"/>
        </w:rPr>
        <w:t xml:space="preserve"> </w:t>
      </w:r>
      <w:r>
        <w:rPr>
          <w:rFonts w:ascii="Garamond" w:hAnsi="Garamond"/>
          <w:color w:val="000000"/>
          <w:szCs w:val="24"/>
        </w:rPr>
        <w:t>For this reason there</w:t>
      </w:r>
      <w:r w:rsidR="001D3900">
        <w:rPr>
          <w:rFonts w:ascii="Garamond" w:hAnsi="Garamond"/>
          <w:color w:val="000000"/>
          <w:szCs w:val="24"/>
        </w:rPr>
        <w:t xml:space="preserve"> has been a growing emphasis </w:t>
      </w:r>
      <w:r w:rsidR="00FA171B">
        <w:rPr>
          <w:rFonts w:ascii="Garamond" w:hAnsi="Garamond"/>
          <w:color w:val="000000"/>
          <w:szCs w:val="24"/>
        </w:rPr>
        <w:t>not only</w:t>
      </w:r>
      <w:r w:rsidR="001D3900">
        <w:rPr>
          <w:rFonts w:ascii="Garamond" w:hAnsi="Garamond"/>
          <w:color w:val="000000"/>
          <w:szCs w:val="24"/>
        </w:rPr>
        <w:t xml:space="preserve"> on</w:t>
      </w:r>
      <w:r w:rsidR="00FA171B">
        <w:rPr>
          <w:rFonts w:ascii="Garamond" w:hAnsi="Garamond"/>
          <w:color w:val="000000"/>
          <w:szCs w:val="24"/>
        </w:rPr>
        <w:t xml:space="preserve"> </w:t>
      </w:r>
      <w:r>
        <w:rPr>
          <w:rFonts w:ascii="Garamond" w:hAnsi="Garamond"/>
          <w:color w:val="000000"/>
          <w:szCs w:val="24"/>
        </w:rPr>
        <w:t xml:space="preserve">recruitment of new teachers, but </w:t>
      </w:r>
      <w:r w:rsidR="002978F0">
        <w:rPr>
          <w:rFonts w:ascii="Garamond" w:hAnsi="Garamond"/>
          <w:color w:val="000000"/>
          <w:szCs w:val="24"/>
        </w:rPr>
        <w:t>also</w:t>
      </w:r>
      <w:r w:rsidR="003734BB">
        <w:rPr>
          <w:rFonts w:ascii="Garamond" w:hAnsi="Garamond"/>
          <w:color w:val="000000"/>
          <w:szCs w:val="24"/>
        </w:rPr>
        <w:t xml:space="preserve"> reducing turnover and increasing</w:t>
      </w:r>
      <w:r w:rsidR="002978F0">
        <w:rPr>
          <w:rFonts w:ascii="Garamond" w:hAnsi="Garamond"/>
          <w:color w:val="000000"/>
          <w:szCs w:val="24"/>
        </w:rPr>
        <w:t xml:space="preserve"> retention</w:t>
      </w:r>
      <w:r w:rsidR="00A77C2A">
        <w:rPr>
          <w:rFonts w:ascii="Garamond" w:hAnsi="Garamond"/>
          <w:color w:val="000000"/>
          <w:szCs w:val="24"/>
        </w:rPr>
        <w:t xml:space="preserve">, particularly </w:t>
      </w:r>
      <w:r w:rsidR="00811C92">
        <w:rPr>
          <w:rFonts w:ascii="Garamond" w:hAnsi="Garamond"/>
          <w:color w:val="000000"/>
          <w:szCs w:val="24"/>
        </w:rPr>
        <w:t>during</w:t>
      </w:r>
      <w:r w:rsidR="00E353B2">
        <w:rPr>
          <w:rFonts w:ascii="Garamond" w:hAnsi="Garamond"/>
          <w:color w:val="000000"/>
          <w:szCs w:val="24"/>
        </w:rPr>
        <w:t xml:space="preserve"> the</w:t>
      </w:r>
      <w:r w:rsidR="00811C92">
        <w:rPr>
          <w:rFonts w:ascii="Garamond" w:hAnsi="Garamond"/>
          <w:color w:val="000000"/>
          <w:szCs w:val="24"/>
        </w:rPr>
        <w:t xml:space="preserve"> early </w:t>
      </w:r>
      <w:r w:rsidR="001D3900">
        <w:rPr>
          <w:rFonts w:ascii="Garamond" w:hAnsi="Garamond"/>
          <w:color w:val="000000"/>
          <w:szCs w:val="24"/>
        </w:rPr>
        <w:t>stages of teachers’ careers</w:t>
      </w:r>
      <w:r w:rsidR="002978F0">
        <w:rPr>
          <w:rFonts w:ascii="Garamond" w:hAnsi="Garamond"/>
          <w:color w:val="000000"/>
          <w:szCs w:val="24"/>
        </w:rPr>
        <w:t xml:space="preserve">. </w:t>
      </w:r>
      <w:r w:rsidR="002107DF" w:rsidRPr="00D063CB">
        <w:rPr>
          <w:rFonts w:ascii="Garamond" w:hAnsi="Garamond"/>
          <w:color w:val="000000"/>
          <w:szCs w:val="24"/>
        </w:rPr>
        <w:t xml:space="preserve">For </w:t>
      </w:r>
      <w:r w:rsidR="007E4433">
        <w:rPr>
          <w:rFonts w:ascii="Garamond" w:hAnsi="Garamond"/>
          <w:color w:val="000000"/>
          <w:szCs w:val="24"/>
        </w:rPr>
        <w:t>most</w:t>
      </w:r>
      <w:r w:rsidR="00036612">
        <w:rPr>
          <w:rFonts w:ascii="Garamond" w:hAnsi="Garamond"/>
          <w:color w:val="000000"/>
          <w:szCs w:val="24"/>
        </w:rPr>
        <w:t xml:space="preserve"> of</w:t>
      </w:r>
      <w:r w:rsidR="002107DF" w:rsidRPr="00D063CB">
        <w:rPr>
          <w:rFonts w:ascii="Garamond" w:hAnsi="Garamond"/>
          <w:color w:val="000000"/>
          <w:szCs w:val="24"/>
        </w:rPr>
        <w:t xml:space="preserve"> the past </w:t>
      </w:r>
      <w:r w:rsidR="007E4433">
        <w:rPr>
          <w:rFonts w:ascii="Garamond" w:hAnsi="Garamond"/>
          <w:color w:val="000000"/>
          <w:szCs w:val="24"/>
        </w:rPr>
        <w:t>20</w:t>
      </w:r>
      <w:r w:rsidR="002107DF" w:rsidRPr="00D063CB">
        <w:rPr>
          <w:rFonts w:ascii="Garamond" w:hAnsi="Garamond"/>
          <w:color w:val="000000"/>
          <w:szCs w:val="24"/>
        </w:rPr>
        <w:t xml:space="preserve"> years, the proportion </w:t>
      </w:r>
      <w:r w:rsidR="001C2121" w:rsidRPr="00D063CB">
        <w:rPr>
          <w:rFonts w:ascii="Garamond" w:hAnsi="Garamond"/>
          <w:color w:val="000000"/>
          <w:szCs w:val="24"/>
        </w:rPr>
        <w:t>of teachers with five or fewer years of experience</w:t>
      </w:r>
      <w:r w:rsidR="00154812">
        <w:rPr>
          <w:rFonts w:ascii="Garamond" w:hAnsi="Garamond"/>
          <w:color w:val="000000"/>
          <w:szCs w:val="24"/>
        </w:rPr>
        <w:t xml:space="preserve"> in the Houston area</w:t>
      </w:r>
      <w:r w:rsidR="002107DF" w:rsidRPr="00D063CB">
        <w:rPr>
          <w:rFonts w:ascii="Garamond" w:hAnsi="Garamond"/>
          <w:color w:val="000000"/>
          <w:szCs w:val="24"/>
        </w:rPr>
        <w:t xml:space="preserve"> rose steadily</w:t>
      </w:r>
      <w:r w:rsidR="00D063CB" w:rsidRPr="00D063CB">
        <w:rPr>
          <w:rFonts w:ascii="Garamond" w:hAnsi="Garamond"/>
          <w:color w:val="000000"/>
          <w:szCs w:val="24"/>
        </w:rPr>
        <w:t xml:space="preserve"> from</w:t>
      </w:r>
      <w:r w:rsidR="007E4433">
        <w:rPr>
          <w:rFonts w:ascii="Garamond" w:hAnsi="Garamond"/>
          <w:color w:val="000000"/>
          <w:szCs w:val="24"/>
        </w:rPr>
        <w:t xml:space="preserve"> a</w:t>
      </w:r>
      <w:r w:rsidR="00D063CB" w:rsidRPr="00D063CB">
        <w:rPr>
          <w:rFonts w:ascii="Garamond" w:hAnsi="Garamond"/>
          <w:color w:val="000000"/>
          <w:szCs w:val="24"/>
        </w:rPr>
        <w:t xml:space="preserve"> </w:t>
      </w:r>
      <w:r w:rsidR="007E4433">
        <w:rPr>
          <w:rFonts w:ascii="Garamond" w:hAnsi="Garamond"/>
          <w:color w:val="000000"/>
          <w:szCs w:val="24"/>
        </w:rPr>
        <w:t>low of 32.8% in 1994-1995</w:t>
      </w:r>
      <w:r w:rsidR="00D063CB" w:rsidRPr="00D063CB">
        <w:rPr>
          <w:rFonts w:ascii="Garamond" w:hAnsi="Garamond"/>
          <w:color w:val="000000"/>
          <w:szCs w:val="24"/>
        </w:rPr>
        <w:t xml:space="preserve"> to an </w:t>
      </w:r>
      <w:r w:rsidR="00483CDB">
        <w:rPr>
          <w:rFonts w:ascii="Garamond" w:hAnsi="Garamond"/>
          <w:color w:val="000000"/>
          <w:szCs w:val="24"/>
        </w:rPr>
        <w:t>a</w:t>
      </w:r>
      <w:r w:rsidR="007E4433">
        <w:rPr>
          <w:rFonts w:ascii="Garamond" w:hAnsi="Garamond"/>
          <w:color w:val="000000"/>
          <w:szCs w:val="24"/>
        </w:rPr>
        <w:t xml:space="preserve"> high of 40.2</w:t>
      </w:r>
      <w:r w:rsidR="00D063CB" w:rsidRPr="00D063CB">
        <w:rPr>
          <w:rFonts w:ascii="Garamond" w:hAnsi="Garamond"/>
          <w:color w:val="000000"/>
          <w:szCs w:val="24"/>
        </w:rPr>
        <w:t>% in 2008-2009</w:t>
      </w:r>
      <w:r w:rsidR="002107DF" w:rsidRPr="00D063CB">
        <w:rPr>
          <w:rFonts w:ascii="Garamond" w:hAnsi="Garamond"/>
          <w:color w:val="000000"/>
          <w:szCs w:val="24"/>
        </w:rPr>
        <w:t>.</w:t>
      </w:r>
      <w:r w:rsidR="00942B69" w:rsidRPr="00D063CB">
        <w:rPr>
          <w:rFonts w:ascii="Garamond" w:hAnsi="Garamond"/>
          <w:color w:val="000000"/>
          <w:szCs w:val="24"/>
        </w:rPr>
        <w:t xml:space="preserve"> </w:t>
      </w:r>
      <w:r w:rsidR="001C2121" w:rsidRPr="00D063CB">
        <w:rPr>
          <w:rFonts w:ascii="Garamond" w:hAnsi="Garamond"/>
          <w:color w:val="000000"/>
          <w:szCs w:val="24"/>
        </w:rPr>
        <w:t xml:space="preserve">On one hand </w:t>
      </w:r>
      <w:r w:rsidR="004E2E5C">
        <w:rPr>
          <w:rFonts w:ascii="Garamond" w:hAnsi="Garamond"/>
          <w:color w:val="000000"/>
          <w:szCs w:val="24"/>
        </w:rPr>
        <w:t>this</w:t>
      </w:r>
      <w:r w:rsidR="00423BF8" w:rsidRPr="00D063CB">
        <w:rPr>
          <w:rFonts w:ascii="Garamond" w:hAnsi="Garamond"/>
          <w:color w:val="000000"/>
          <w:szCs w:val="24"/>
        </w:rPr>
        <w:t xml:space="preserve"> </w:t>
      </w:r>
      <w:r w:rsidR="002107DF" w:rsidRPr="00D063CB">
        <w:rPr>
          <w:rFonts w:ascii="Garamond" w:hAnsi="Garamond"/>
          <w:color w:val="000000"/>
          <w:szCs w:val="24"/>
        </w:rPr>
        <w:t>resulted in a</w:t>
      </w:r>
      <w:r w:rsidR="004E2E5C">
        <w:rPr>
          <w:rFonts w:ascii="Garamond" w:hAnsi="Garamond"/>
          <w:color w:val="000000"/>
          <w:szCs w:val="24"/>
        </w:rPr>
        <w:t>n overall</w:t>
      </w:r>
      <w:r w:rsidR="001C2121" w:rsidRPr="00D063CB">
        <w:rPr>
          <w:rFonts w:ascii="Garamond" w:hAnsi="Garamond"/>
          <w:color w:val="000000"/>
          <w:szCs w:val="24"/>
        </w:rPr>
        <w:t xml:space="preserve"> teacher workforce </w:t>
      </w:r>
      <w:r w:rsidR="002107DF" w:rsidRPr="00D063CB">
        <w:rPr>
          <w:rFonts w:ascii="Garamond" w:hAnsi="Garamond"/>
          <w:color w:val="000000"/>
          <w:szCs w:val="24"/>
        </w:rPr>
        <w:t xml:space="preserve">with </w:t>
      </w:r>
      <w:r w:rsidR="001C2121" w:rsidRPr="00D063CB">
        <w:rPr>
          <w:rFonts w:ascii="Garamond" w:hAnsi="Garamond"/>
          <w:color w:val="000000"/>
          <w:szCs w:val="24"/>
        </w:rPr>
        <w:t>relatively less experience</w:t>
      </w:r>
      <w:r w:rsidR="002152C3">
        <w:rPr>
          <w:rFonts w:ascii="Garamond" w:hAnsi="Garamond"/>
          <w:color w:val="000000"/>
          <w:szCs w:val="24"/>
        </w:rPr>
        <w:t>, which was</w:t>
      </w:r>
      <w:r w:rsidR="007A1B8A">
        <w:rPr>
          <w:rFonts w:ascii="Garamond" w:hAnsi="Garamond"/>
          <w:color w:val="000000"/>
          <w:szCs w:val="24"/>
        </w:rPr>
        <w:t xml:space="preserve"> also</w:t>
      </w:r>
      <w:r w:rsidR="002152C3">
        <w:rPr>
          <w:rFonts w:ascii="Garamond" w:hAnsi="Garamond"/>
          <w:color w:val="000000"/>
          <w:szCs w:val="24"/>
        </w:rPr>
        <w:t xml:space="preserve"> reflected in</w:t>
      </w:r>
      <w:r w:rsidR="0073129F">
        <w:rPr>
          <w:rFonts w:ascii="Garamond" w:hAnsi="Garamond"/>
          <w:color w:val="000000"/>
          <w:szCs w:val="24"/>
        </w:rPr>
        <w:t xml:space="preserve"> the</w:t>
      </w:r>
      <w:r w:rsidR="002152C3">
        <w:rPr>
          <w:rFonts w:ascii="Garamond" w:hAnsi="Garamond"/>
          <w:color w:val="000000"/>
          <w:szCs w:val="24"/>
        </w:rPr>
        <w:t xml:space="preserve"> </w:t>
      </w:r>
      <w:r w:rsidR="00D063CB" w:rsidRPr="00D063CB">
        <w:rPr>
          <w:rFonts w:ascii="Garamond" w:hAnsi="Garamond"/>
          <w:color w:val="000000"/>
          <w:szCs w:val="24"/>
        </w:rPr>
        <w:t>declining average years of experience reaching</w:t>
      </w:r>
      <w:r w:rsidR="003734BB">
        <w:rPr>
          <w:rFonts w:ascii="Garamond" w:hAnsi="Garamond"/>
          <w:color w:val="000000"/>
          <w:szCs w:val="24"/>
        </w:rPr>
        <w:t xml:space="preserve"> </w:t>
      </w:r>
      <w:r w:rsidR="007E4433">
        <w:rPr>
          <w:rFonts w:ascii="Garamond" w:hAnsi="Garamond"/>
          <w:color w:val="000000"/>
          <w:szCs w:val="24"/>
        </w:rPr>
        <w:t>an all-time low of 10.7</w:t>
      </w:r>
      <w:r w:rsidR="005F0892">
        <w:rPr>
          <w:rFonts w:ascii="Garamond" w:hAnsi="Garamond"/>
          <w:color w:val="000000"/>
          <w:szCs w:val="24"/>
        </w:rPr>
        <w:t>. In other words, there was an inverse relationship between the share of new teachers and the average years of experience across all teachers.</w:t>
      </w:r>
      <w:r w:rsidR="000F0609">
        <w:rPr>
          <w:rFonts w:ascii="Garamond" w:hAnsi="Garamond"/>
          <w:color w:val="000000"/>
          <w:szCs w:val="24"/>
        </w:rPr>
        <w:t xml:space="preserve"> </w:t>
      </w:r>
      <w:r w:rsidR="000F0609" w:rsidRPr="00D063CB">
        <w:rPr>
          <w:rFonts w:ascii="Garamond" w:hAnsi="Garamond"/>
          <w:color w:val="000000"/>
          <w:szCs w:val="24"/>
        </w:rPr>
        <w:t xml:space="preserve">At the same time </w:t>
      </w:r>
      <w:r w:rsidR="000F0609">
        <w:rPr>
          <w:rFonts w:ascii="Garamond" w:hAnsi="Garamond"/>
          <w:color w:val="000000"/>
          <w:szCs w:val="24"/>
        </w:rPr>
        <w:t xml:space="preserve">this </w:t>
      </w:r>
      <w:r w:rsidR="000F0609" w:rsidRPr="00D063CB">
        <w:rPr>
          <w:rFonts w:ascii="Garamond" w:hAnsi="Garamond"/>
          <w:color w:val="000000"/>
          <w:szCs w:val="24"/>
        </w:rPr>
        <w:t>indicate</w:t>
      </w:r>
      <w:r w:rsidR="000F0609">
        <w:rPr>
          <w:rFonts w:ascii="Garamond" w:hAnsi="Garamond"/>
          <w:color w:val="000000"/>
          <w:szCs w:val="24"/>
        </w:rPr>
        <w:t>d</w:t>
      </w:r>
      <w:r w:rsidR="000F0609" w:rsidRPr="00D063CB">
        <w:rPr>
          <w:rFonts w:ascii="Garamond" w:hAnsi="Garamond"/>
          <w:color w:val="000000"/>
          <w:szCs w:val="24"/>
        </w:rPr>
        <w:t xml:space="preserve"> that new teachers were </w:t>
      </w:r>
      <w:r w:rsidR="000F0609">
        <w:rPr>
          <w:rFonts w:ascii="Garamond" w:hAnsi="Garamond"/>
          <w:color w:val="000000"/>
          <w:szCs w:val="24"/>
        </w:rPr>
        <w:t>entering the field in growing numbers</w:t>
      </w:r>
      <w:r w:rsidR="001D3900">
        <w:rPr>
          <w:rFonts w:ascii="Garamond" w:hAnsi="Garamond"/>
          <w:color w:val="000000"/>
          <w:szCs w:val="24"/>
        </w:rPr>
        <w:t xml:space="preserve">, </w:t>
      </w:r>
      <w:r w:rsidR="000F0609">
        <w:rPr>
          <w:rFonts w:ascii="Garamond" w:hAnsi="Garamond"/>
          <w:color w:val="000000"/>
          <w:szCs w:val="24"/>
        </w:rPr>
        <w:t>potential</w:t>
      </w:r>
      <w:r w:rsidR="001D3900">
        <w:rPr>
          <w:rFonts w:ascii="Garamond" w:hAnsi="Garamond"/>
          <w:color w:val="000000"/>
          <w:szCs w:val="24"/>
        </w:rPr>
        <w:t>ly creating a</w:t>
      </w:r>
      <w:r w:rsidR="000F0609">
        <w:rPr>
          <w:rFonts w:ascii="Garamond" w:hAnsi="Garamond"/>
          <w:color w:val="000000"/>
          <w:szCs w:val="24"/>
        </w:rPr>
        <w:t xml:space="preserve"> </w:t>
      </w:r>
      <w:r w:rsidR="000F0609" w:rsidRPr="00D063CB">
        <w:rPr>
          <w:rFonts w:ascii="Garamond" w:hAnsi="Garamond"/>
          <w:color w:val="000000"/>
          <w:szCs w:val="24"/>
        </w:rPr>
        <w:t>pipeline of future talent</w:t>
      </w:r>
      <w:r w:rsidR="001D3900">
        <w:rPr>
          <w:rFonts w:ascii="Garamond" w:hAnsi="Garamond"/>
          <w:color w:val="000000"/>
          <w:szCs w:val="24"/>
        </w:rPr>
        <w:t xml:space="preserve"> for years to come</w:t>
      </w:r>
      <w:r w:rsidR="000F0609">
        <w:rPr>
          <w:rFonts w:ascii="Garamond" w:hAnsi="Garamond"/>
          <w:color w:val="000000"/>
          <w:szCs w:val="24"/>
        </w:rPr>
        <w:t>.</w:t>
      </w:r>
      <w:r w:rsidR="00E353B2">
        <w:rPr>
          <w:rFonts w:ascii="Garamond" w:hAnsi="Garamond"/>
          <w:color w:val="000000"/>
          <w:szCs w:val="24"/>
        </w:rPr>
        <w:t xml:space="preserve">  </w:t>
      </w:r>
    </w:p>
    <w:p w:rsidR="0081095A" w:rsidRDefault="0081095A" w:rsidP="00A9372A">
      <w:pPr>
        <w:rPr>
          <w:rFonts w:ascii="Garamond" w:hAnsi="Garamond"/>
          <w:color w:val="000000"/>
          <w:szCs w:val="24"/>
        </w:rPr>
      </w:pPr>
    </w:p>
    <w:p w:rsidR="00154812" w:rsidRDefault="001D3900" w:rsidP="00A9372A">
      <w:pPr>
        <w:rPr>
          <w:rFonts w:ascii="Garamond" w:hAnsi="Garamond"/>
          <w:color w:val="000000"/>
          <w:szCs w:val="24"/>
        </w:rPr>
      </w:pPr>
      <w:r>
        <w:rPr>
          <w:rFonts w:ascii="Garamond" w:hAnsi="Garamond"/>
          <w:color w:val="000000"/>
          <w:szCs w:val="24"/>
        </w:rPr>
        <w:t>The following school year a</w:t>
      </w:r>
      <w:r w:rsidR="001C2121" w:rsidRPr="00D063CB">
        <w:rPr>
          <w:rFonts w:ascii="Garamond" w:hAnsi="Garamond"/>
          <w:color w:val="000000"/>
          <w:szCs w:val="24"/>
        </w:rPr>
        <w:t xml:space="preserve"> </w:t>
      </w:r>
      <w:r w:rsidR="000F0609">
        <w:rPr>
          <w:rFonts w:ascii="Garamond" w:hAnsi="Garamond"/>
          <w:color w:val="000000"/>
          <w:szCs w:val="24"/>
        </w:rPr>
        <w:t>precipitous drop in</w:t>
      </w:r>
      <w:r w:rsidR="001C2121" w:rsidRPr="00D063CB">
        <w:rPr>
          <w:rFonts w:ascii="Garamond" w:hAnsi="Garamond"/>
          <w:color w:val="000000"/>
          <w:szCs w:val="24"/>
        </w:rPr>
        <w:t xml:space="preserve"> teachers with five</w:t>
      </w:r>
      <w:r w:rsidR="005A2892">
        <w:rPr>
          <w:rFonts w:ascii="Garamond" w:hAnsi="Garamond"/>
          <w:color w:val="000000"/>
          <w:szCs w:val="24"/>
        </w:rPr>
        <w:t xml:space="preserve"> or fewer</w:t>
      </w:r>
      <w:r w:rsidR="001C2121" w:rsidRPr="00D063CB">
        <w:rPr>
          <w:rFonts w:ascii="Garamond" w:hAnsi="Garamond"/>
          <w:color w:val="000000"/>
          <w:szCs w:val="24"/>
        </w:rPr>
        <w:t xml:space="preserve"> years of experience</w:t>
      </w:r>
      <w:r>
        <w:rPr>
          <w:rFonts w:ascii="Garamond" w:hAnsi="Garamond"/>
          <w:color w:val="000000"/>
          <w:szCs w:val="24"/>
        </w:rPr>
        <w:t xml:space="preserve"> began, culminating in</w:t>
      </w:r>
      <w:r w:rsidR="007E4433">
        <w:rPr>
          <w:rFonts w:ascii="Garamond" w:hAnsi="Garamond"/>
          <w:color w:val="000000"/>
          <w:szCs w:val="24"/>
        </w:rPr>
        <w:t xml:space="preserve"> </w:t>
      </w:r>
      <w:r>
        <w:rPr>
          <w:rFonts w:ascii="Garamond" w:hAnsi="Garamond"/>
          <w:color w:val="000000"/>
          <w:szCs w:val="24"/>
        </w:rPr>
        <w:t>the second-lowest share</w:t>
      </w:r>
      <w:r w:rsidR="003F38F6">
        <w:rPr>
          <w:rFonts w:ascii="Garamond" w:hAnsi="Garamond"/>
          <w:color w:val="000000"/>
          <w:szCs w:val="24"/>
        </w:rPr>
        <w:t xml:space="preserve"> of new teachers</w:t>
      </w:r>
      <w:r>
        <w:rPr>
          <w:rFonts w:ascii="Garamond" w:hAnsi="Garamond"/>
          <w:color w:val="000000"/>
          <w:szCs w:val="24"/>
        </w:rPr>
        <w:t xml:space="preserve"> </w:t>
      </w:r>
      <w:r w:rsidR="003F38F6">
        <w:rPr>
          <w:rFonts w:ascii="Garamond" w:hAnsi="Garamond"/>
          <w:color w:val="000000"/>
          <w:szCs w:val="24"/>
        </w:rPr>
        <w:t xml:space="preserve">in 20 </w:t>
      </w:r>
      <w:r>
        <w:rPr>
          <w:rFonts w:ascii="Garamond" w:hAnsi="Garamond"/>
          <w:color w:val="000000"/>
          <w:szCs w:val="24"/>
        </w:rPr>
        <w:t>year</w:t>
      </w:r>
      <w:r w:rsidR="003F38F6">
        <w:rPr>
          <w:rFonts w:ascii="Garamond" w:hAnsi="Garamond"/>
          <w:color w:val="000000"/>
          <w:szCs w:val="24"/>
        </w:rPr>
        <w:t xml:space="preserve">s </w:t>
      </w:r>
      <w:r>
        <w:rPr>
          <w:rFonts w:ascii="Garamond" w:hAnsi="Garamond"/>
          <w:color w:val="000000"/>
          <w:szCs w:val="24"/>
        </w:rPr>
        <w:t>with</w:t>
      </w:r>
      <w:r w:rsidR="007E4433">
        <w:rPr>
          <w:rFonts w:ascii="Garamond" w:hAnsi="Garamond"/>
          <w:color w:val="000000"/>
          <w:szCs w:val="24"/>
        </w:rPr>
        <w:t xml:space="preserve"> 33.4</w:t>
      </w:r>
      <w:r w:rsidR="00036612">
        <w:rPr>
          <w:rFonts w:ascii="Garamond" w:hAnsi="Garamond"/>
          <w:color w:val="000000"/>
          <w:szCs w:val="24"/>
        </w:rPr>
        <w:t>% in</w:t>
      </w:r>
      <w:r w:rsidR="001C2121" w:rsidRPr="00D063CB">
        <w:rPr>
          <w:rFonts w:ascii="Garamond" w:hAnsi="Garamond"/>
          <w:color w:val="000000"/>
          <w:szCs w:val="24"/>
        </w:rPr>
        <w:t xml:space="preserve"> 2012-2013</w:t>
      </w:r>
      <w:r>
        <w:rPr>
          <w:rFonts w:ascii="Garamond" w:hAnsi="Garamond"/>
          <w:color w:val="000000"/>
          <w:szCs w:val="24"/>
        </w:rPr>
        <w:t xml:space="preserve">. </w:t>
      </w:r>
      <w:r w:rsidR="002152C3">
        <w:rPr>
          <w:rFonts w:ascii="Garamond" w:hAnsi="Garamond"/>
          <w:color w:val="000000"/>
          <w:szCs w:val="24"/>
        </w:rPr>
        <w:t xml:space="preserve"> </w:t>
      </w:r>
      <w:r>
        <w:rPr>
          <w:rFonts w:ascii="Garamond" w:hAnsi="Garamond"/>
          <w:color w:val="000000"/>
          <w:szCs w:val="24"/>
        </w:rPr>
        <w:t xml:space="preserve">This suggests </w:t>
      </w:r>
      <w:r w:rsidR="001C2121" w:rsidRPr="00D063CB">
        <w:rPr>
          <w:rFonts w:ascii="Garamond" w:hAnsi="Garamond"/>
          <w:color w:val="000000"/>
          <w:szCs w:val="24"/>
        </w:rPr>
        <w:t xml:space="preserve">that </w:t>
      </w:r>
      <w:r w:rsidR="004E2E5C">
        <w:rPr>
          <w:rFonts w:ascii="Garamond" w:hAnsi="Garamond"/>
          <w:color w:val="000000"/>
          <w:szCs w:val="24"/>
        </w:rPr>
        <w:t>n</w:t>
      </w:r>
      <w:r w:rsidR="000F0609">
        <w:rPr>
          <w:rFonts w:ascii="Garamond" w:hAnsi="Garamond"/>
          <w:color w:val="000000"/>
          <w:szCs w:val="24"/>
        </w:rPr>
        <w:t>ew</w:t>
      </w:r>
      <w:r w:rsidR="001C2121" w:rsidRPr="00D063CB">
        <w:rPr>
          <w:rFonts w:ascii="Garamond" w:hAnsi="Garamond"/>
          <w:color w:val="000000"/>
          <w:szCs w:val="24"/>
        </w:rPr>
        <w:t xml:space="preserve"> teachers</w:t>
      </w:r>
      <w:r w:rsidR="00D84155" w:rsidRPr="00D063CB">
        <w:rPr>
          <w:rFonts w:ascii="Garamond" w:hAnsi="Garamond"/>
          <w:color w:val="000000"/>
          <w:szCs w:val="24"/>
        </w:rPr>
        <w:t xml:space="preserve"> left the </w:t>
      </w:r>
      <w:r w:rsidR="00B15CC2">
        <w:rPr>
          <w:rFonts w:ascii="Garamond" w:hAnsi="Garamond"/>
          <w:color w:val="000000"/>
          <w:szCs w:val="24"/>
        </w:rPr>
        <w:t xml:space="preserve">profession in </w:t>
      </w:r>
      <w:r w:rsidR="0081095A">
        <w:rPr>
          <w:rFonts w:ascii="Garamond" w:hAnsi="Garamond"/>
          <w:color w:val="000000"/>
          <w:szCs w:val="24"/>
        </w:rPr>
        <w:t>significant</w:t>
      </w:r>
      <w:r w:rsidR="00B15CC2">
        <w:rPr>
          <w:rFonts w:ascii="Garamond" w:hAnsi="Garamond"/>
          <w:color w:val="000000"/>
          <w:szCs w:val="24"/>
        </w:rPr>
        <w:t xml:space="preserve"> numbers</w:t>
      </w:r>
      <w:r w:rsidR="00154812">
        <w:rPr>
          <w:rFonts w:ascii="Garamond" w:hAnsi="Garamond"/>
          <w:color w:val="000000"/>
          <w:szCs w:val="24"/>
        </w:rPr>
        <w:t xml:space="preserve"> over a relatively brief period</w:t>
      </w:r>
      <w:r w:rsidR="00B15CC2">
        <w:rPr>
          <w:rFonts w:ascii="Garamond" w:hAnsi="Garamond"/>
          <w:color w:val="000000"/>
          <w:szCs w:val="24"/>
        </w:rPr>
        <w:t>.</w:t>
      </w:r>
      <w:r w:rsidR="00036612">
        <w:rPr>
          <w:rFonts w:ascii="Garamond" w:hAnsi="Garamond"/>
          <w:color w:val="000000"/>
          <w:szCs w:val="24"/>
        </w:rPr>
        <w:t xml:space="preserve"> </w:t>
      </w:r>
      <w:r w:rsidR="00483CDB">
        <w:rPr>
          <w:rFonts w:ascii="Garamond" w:hAnsi="Garamond"/>
          <w:color w:val="000000"/>
          <w:szCs w:val="24"/>
        </w:rPr>
        <w:t>In fact</w:t>
      </w:r>
      <w:r w:rsidR="00036612">
        <w:rPr>
          <w:rFonts w:ascii="Garamond" w:hAnsi="Garamond"/>
          <w:color w:val="000000"/>
          <w:szCs w:val="24"/>
        </w:rPr>
        <w:t xml:space="preserve">, it </w:t>
      </w:r>
      <w:r w:rsidR="00483CDB">
        <w:rPr>
          <w:rFonts w:ascii="Garamond" w:hAnsi="Garamond"/>
          <w:color w:val="000000"/>
          <w:szCs w:val="24"/>
        </w:rPr>
        <w:t>took</w:t>
      </w:r>
      <w:r w:rsidR="007E4433">
        <w:rPr>
          <w:rFonts w:ascii="Garamond" w:hAnsi="Garamond"/>
          <w:color w:val="000000"/>
          <w:szCs w:val="24"/>
        </w:rPr>
        <w:t xml:space="preserve"> 15</w:t>
      </w:r>
      <w:r w:rsidR="00036612">
        <w:rPr>
          <w:rFonts w:ascii="Garamond" w:hAnsi="Garamond"/>
          <w:color w:val="000000"/>
          <w:szCs w:val="24"/>
        </w:rPr>
        <w:t xml:space="preserve"> years </w:t>
      </w:r>
      <w:r w:rsidR="004E2E5C">
        <w:rPr>
          <w:rFonts w:ascii="Garamond" w:hAnsi="Garamond"/>
          <w:color w:val="000000"/>
          <w:szCs w:val="24"/>
        </w:rPr>
        <w:t>for the proportion</w:t>
      </w:r>
      <w:r w:rsidR="000F0609">
        <w:rPr>
          <w:rFonts w:ascii="Garamond" w:hAnsi="Garamond"/>
          <w:color w:val="000000"/>
          <w:szCs w:val="24"/>
        </w:rPr>
        <w:t xml:space="preserve"> of</w:t>
      </w:r>
      <w:r w:rsidR="004E2E5C">
        <w:rPr>
          <w:rFonts w:ascii="Garamond" w:hAnsi="Garamond"/>
          <w:color w:val="000000"/>
          <w:szCs w:val="24"/>
        </w:rPr>
        <w:t xml:space="preserve"> </w:t>
      </w:r>
      <w:r w:rsidR="000F0609">
        <w:rPr>
          <w:rFonts w:ascii="Garamond" w:hAnsi="Garamond"/>
          <w:color w:val="000000"/>
          <w:szCs w:val="24"/>
        </w:rPr>
        <w:t>new</w:t>
      </w:r>
      <w:r w:rsidR="005A2892">
        <w:rPr>
          <w:rFonts w:ascii="Garamond" w:hAnsi="Garamond"/>
          <w:color w:val="000000"/>
          <w:szCs w:val="24"/>
        </w:rPr>
        <w:t xml:space="preserve"> teachers</w:t>
      </w:r>
      <w:r w:rsidR="007E4433">
        <w:rPr>
          <w:rFonts w:ascii="Garamond" w:hAnsi="Garamond"/>
          <w:color w:val="000000"/>
          <w:szCs w:val="24"/>
        </w:rPr>
        <w:t xml:space="preserve"> to rise 7.3</w:t>
      </w:r>
      <w:r w:rsidR="004E2E5C">
        <w:rPr>
          <w:rFonts w:ascii="Garamond" w:hAnsi="Garamond"/>
          <w:color w:val="000000"/>
          <w:szCs w:val="24"/>
        </w:rPr>
        <w:t xml:space="preserve"> </w:t>
      </w:r>
      <w:r w:rsidR="00036612">
        <w:rPr>
          <w:rFonts w:ascii="Garamond" w:hAnsi="Garamond"/>
          <w:color w:val="000000"/>
          <w:szCs w:val="24"/>
        </w:rPr>
        <w:t xml:space="preserve">percentage </w:t>
      </w:r>
      <w:r w:rsidR="004E2E5C">
        <w:rPr>
          <w:rFonts w:ascii="Garamond" w:hAnsi="Garamond"/>
          <w:color w:val="000000"/>
          <w:szCs w:val="24"/>
        </w:rPr>
        <w:t xml:space="preserve">points </w:t>
      </w:r>
      <w:r w:rsidR="004738A8">
        <w:rPr>
          <w:rFonts w:ascii="Garamond" w:hAnsi="Garamond"/>
          <w:color w:val="000000"/>
          <w:szCs w:val="24"/>
        </w:rPr>
        <w:t>and only 5 years to</w:t>
      </w:r>
      <w:r w:rsidR="004E2E5C">
        <w:rPr>
          <w:rFonts w:ascii="Garamond" w:hAnsi="Garamond"/>
          <w:color w:val="000000"/>
          <w:szCs w:val="24"/>
        </w:rPr>
        <w:t xml:space="preserve"> </w:t>
      </w:r>
      <w:r>
        <w:rPr>
          <w:rFonts w:ascii="Garamond" w:hAnsi="Garamond"/>
          <w:color w:val="000000"/>
          <w:szCs w:val="24"/>
        </w:rPr>
        <w:t>undo</w:t>
      </w:r>
      <w:r w:rsidR="004738A8">
        <w:rPr>
          <w:rFonts w:ascii="Garamond" w:hAnsi="Garamond"/>
          <w:color w:val="000000"/>
          <w:szCs w:val="24"/>
        </w:rPr>
        <w:t xml:space="preserve"> </w:t>
      </w:r>
      <w:r w:rsidR="00CF0C41">
        <w:rPr>
          <w:rFonts w:ascii="Garamond" w:hAnsi="Garamond"/>
          <w:color w:val="000000"/>
          <w:szCs w:val="24"/>
        </w:rPr>
        <w:t xml:space="preserve">the </w:t>
      </w:r>
      <w:r>
        <w:rPr>
          <w:rFonts w:ascii="Garamond" w:hAnsi="Garamond"/>
          <w:color w:val="000000"/>
          <w:szCs w:val="24"/>
        </w:rPr>
        <w:t>vast</w:t>
      </w:r>
      <w:r w:rsidR="00CF0C41">
        <w:rPr>
          <w:rFonts w:ascii="Garamond" w:hAnsi="Garamond"/>
          <w:color w:val="000000"/>
          <w:szCs w:val="24"/>
        </w:rPr>
        <w:t xml:space="preserve"> majority of those gains</w:t>
      </w:r>
      <w:r w:rsidR="005A2892">
        <w:rPr>
          <w:rFonts w:ascii="Garamond" w:hAnsi="Garamond"/>
          <w:color w:val="000000"/>
          <w:szCs w:val="24"/>
        </w:rPr>
        <w:t xml:space="preserve">. Despite a slight recovery in 2013-2014, the share of teachers with five or fewer years of experience remained </w:t>
      </w:r>
      <w:r w:rsidR="00CF0C41">
        <w:rPr>
          <w:rFonts w:ascii="Garamond" w:hAnsi="Garamond"/>
          <w:color w:val="000000"/>
          <w:szCs w:val="24"/>
        </w:rPr>
        <w:t>well-below the levels seen just a few years earlier.</w:t>
      </w:r>
      <w:r w:rsidR="004738A8">
        <w:rPr>
          <w:rFonts w:ascii="Garamond" w:hAnsi="Garamond"/>
          <w:color w:val="000000"/>
          <w:szCs w:val="24"/>
        </w:rPr>
        <w:t xml:space="preserve"> </w:t>
      </w:r>
    </w:p>
    <w:p w:rsidR="00154812" w:rsidRDefault="00154812" w:rsidP="00A9372A">
      <w:pPr>
        <w:rPr>
          <w:rFonts w:ascii="Garamond" w:hAnsi="Garamond"/>
          <w:color w:val="000000"/>
          <w:szCs w:val="24"/>
        </w:rPr>
      </w:pPr>
    </w:p>
    <w:p w:rsidR="001025B3" w:rsidRDefault="00B15CC2" w:rsidP="00A9372A">
      <w:pPr>
        <w:rPr>
          <w:rFonts w:ascii="Garamond" w:hAnsi="Garamond"/>
          <w:color w:val="000000"/>
          <w:szCs w:val="24"/>
        </w:rPr>
      </w:pPr>
      <w:r>
        <w:rPr>
          <w:rFonts w:ascii="Garamond" w:hAnsi="Garamond"/>
          <w:color w:val="000000"/>
          <w:szCs w:val="24"/>
        </w:rPr>
        <w:t xml:space="preserve">A </w:t>
      </w:r>
      <w:r w:rsidR="000F0609">
        <w:rPr>
          <w:rFonts w:ascii="Garamond" w:hAnsi="Garamond"/>
          <w:color w:val="000000"/>
          <w:szCs w:val="24"/>
        </w:rPr>
        <w:t>brief</w:t>
      </w:r>
      <w:r w:rsidR="00154812">
        <w:rPr>
          <w:rFonts w:ascii="Garamond" w:hAnsi="Garamond"/>
          <w:color w:val="000000"/>
          <w:szCs w:val="24"/>
        </w:rPr>
        <w:t xml:space="preserve"> </w:t>
      </w:r>
      <w:r w:rsidR="001C6AD4">
        <w:rPr>
          <w:rFonts w:ascii="Garamond" w:hAnsi="Garamond"/>
          <w:color w:val="000000"/>
          <w:szCs w:val="24"/>
        </w:rPr>
        <w:t>by-product</w:t>
      </w:r>
      <w:r w:rsidR="00D84155" w:rsidRPr="00D063CB">
        <w:rPr>
          <w:rFonts w:ascii="Garamond" w:hAnsi="Garamond"/>
          <w:color w:val="000000"/>
          <w:szCs w:val="24"/>
        </w:rPr>
        <w:t xml:space="preserve"> of </w:t>
      </w:r>
      <w:r w:rsidR="0073129F">
        <w:rPr>
          <w:rFonts w:ascii="Garamond" w:hAnsi="Garamond"/>
          <w:color w:val="000000"/>
          <w:szCs w:val="24"/>
        </w:rPr>
        <w:t xml:space="preserve">the </w:t>
      </w:r>
      <w:r w:rsidR="000F0609">
        <w:rPr>
          <w:rFonts w:ascii="Garamond" w:hAnsi="Garamond"/>
          <w:color w:val="000000"/>
          <w:szCs w:val="24"/>
        </w:rPr>
        <w:t>surge</w:t>
      </w:r>
      <w:r w:rsidR="0073129F">
        <w:rPr>
          <w:rFonts w:ascii="Garamond" w:hAnsi="Garamond"/>
          <w:color w:val="000000"/>
          <w:szCs w:val="24"/>
        </w:rPr>
        <w:t xml:space="preserve"> in </w:t>
      </w:r>
      <w:r w:rsidR="00334F2F">
        <w:rPr>
          <w:rFonts w:ascii="Garamond" w:hAnsi="Garamond"/>
          <w:color w:val="000000"/>
          <w:szCs w:val="24"/>
        </w:rPr>
        <w:t>attrition</w:t>
      </w:r>
      <w:r w:rsidR="007153EC">
        <w:rPr>
          <w:rFonts w:ascii="Garamond" w:hAnsi="Garamond"/>
          <w:color w:val="000000"/>
          <w:szCs w:val="24"/>
        </w:rPr>
        <w:t xml:space="preserve"> of new teachers</w:t>
      </w:r>
      <w:r w:rsidR="002152C3">
        <w:rPr>
          <w:rFonts w:ascii="Garamond" w:hAnsi="Garamond"/>
          <w:color w:val="000000"/>
          <w:szCs w:val="24"/>
        </w:rPr>
        <w:t xml:space="preserve"> was</w:t>
      </w:r>
      <w:r w:rsidR="00D84155" w:rsidRPr="00D063CB">
        <w:rPr>
          <w:rFonts w:ascii="Garamond" w:hAnsi="Garamond"/>
          <w:color w:val="000000"/>
          <w:szCs w:val="24"/>
        </w:rPr>
        <w:t xml:space="preserve"> a temporary spike in the average years of experience</w:t>
      </w:r>
      <w:r w:rsidR="002152C3">
        <w:rPr>
          <w:rFonts w:ascii="Garamond" w:hAnsi="Garamond"/>
          <w:color w:val="000000"/>
          <w:szCs w:val="24"/>
        </w:rPr>
        <w:t xml:space="preserve"> to 11</w:t>
      </w:r>
      <w:r w:rsidR="00CF0C41">
        <w:rPr>
          <w:rFonts w:ascii="Garamond" w:hAnsi="Garamond"/>
          <w:color w:val="000000"/>
          <w:szCs w:val="24"/>
        </w:rPr>
        <w:t>.4</w:t>
      </w:r>
      <w:r w:rsidR="00154812">
        <w:rPr>
          <w:rFonts w:ascii="Garamond" w:hAnsi="Garamond"/>
          <w:color w:val="000000"/>
          <w:szCs w:val="24"/>
        </w:rPr>
        <w:t xml:space="preserve"> during the 2011-2012 school year</w:t>
      </w:r>
      <w:r w:rsidR="00D84155" w:rsidRPr="00D063CB">
        <w:rPr>
          <w:rFonts w:ascii="Garamond" w:hAnsi="Garamond"/>
          <w:color w:val="000000"/>
          <w:szCs w:val="24"/>
        </w:rPr>
        <w:t>.</w:t>
      </w:r>
      <w:r w:rsidR="00334F2F">
        <w:rPr>
          <w:rFonts w:ascii="Garamond" w:hAnsi="Garamond"/>
          <w:color w:val="000000"/>
          <w:szCs w:val="24"/>
        </w:rPr>
        <w:t xml:space="preserve"> </w:t>
      </w:r>
      <w:r w:rsidR="001C6AD4">
        <w:rPr>
          <w:rFonts w:ascii="Garamond" w:hAnsi="Garamond"/>
          <w:color w:val="000000"/>
          <w:szCs w:val="24"/>
        </w:rPr>
        <w:t xml:space="preserve">Note that </w:t>
      </w:r>
      <w:r w:rsidR="0029672A">
        <w:rPr>
          <w:rFonts w:ascii="Garamond" w:hAnsi="Garamond"/>
          <w:color w:val="000000"/>
          <w:szCs w:val="24"/>
        </w:rPr>
        <w:t>th</w:t>
      </w:r>
      <w:r w:rsidR="007153EC">
        <w:rPr>
          <w:rFonts w:ascii="Garamond" w:hAnsi="Garamond"/>
          <w:color w:val="000000"/>
          <w:szCs w:val="24"/>
        </w:rPr>
        <w:t>e magnitude of this</w:t>
      </w:r>
      <w:r w:rsidR="0029672A">
        <w:rPr>
          <w:rFonts w:ascii="Garamond" w:hAnsi="Garamond"/>
          <w:color w:val="000000"/>
          <w:szCs w:val="24"/>
        </w:rPr>
        <w:t xml:space="preserve"> spike was relatively weak compared</w:t>
      </w:r>
      <w:r w:rsidR="00334F2F">
        <w:rPr>
          <w:rFonts w:ascii="Garamond" w:hAnsi="Garamond"/>
          <w:color w:val="000000"/>
          <w:szCs w:val="24"/>
        </w:rPr>
        <w:t xml:space="preserve"> to </w:t>
      </w:r>
      <w:r w:rsidR="00CF0C41">
        <w:rPr>
          <w:rFonts w:ascii="Garamond" w:hAnsi="Garamond"/>
          <w:color w:val="000000"/>
          <w:szCs w:val="24"/>
        </w:rPr>
        <w:t xml:space="preserve">the levels observed just over a </w:t>
      </w:r>
      <w:r w:rsidR="0029672A">
        <w:rPr>
          <w:rFonts w:ascii="Garamond" w:hAnsi="Garamond"/>
          <w:color w:val="000000"/>
          <w:szCs w:val="24"/>
        </w:rPr>
        <w:t>decade earlier</w:t>
      </w:r>
      <w:r w:rsidR="001C6AD4">
        <w:rPr>
          <w:rFonts w:ascii="Garamond" w:hAnsi="Garamond"/>
          <w:color w:val="000000"/>
          <w:szCs w:val="24"/>
        </w:rPr>
        <w:t>, and</w:t>
      </w:r>
      <w:r w:rsidR="000F0609">
        <w:rPr>
          <w:rFonts w:ascii="Garamond" w:hAnsi="Garamond"/>
          <w:color w:val="000000"/>
          <w:szCs w:val="24"/>
        </w:rPr>
        <w:t xml:space="preserve"> despite a far </w:t>
      </w:r>
      <w:r w:rsidR="001D3900">
        <w:rPr>
          <w:rFonts w:ascii="Garamond" w:hAnsi="Garamond"/>
          <w:color w:val="000000"/>
          <w:szCs w:val="24"/>
        </w:rPr>
        <w:t>steeper decline in</w:t>
      </w:r>
      <w:r w:rsidR="007153EC">
        <w:rPr>
          <w:rFonts w:ascii="Garamond" w:hAnsi="Garamond"/>
          <w:color w:val="000000"/>
          <w:szCs w:val="24"/>
        </w:rPr>
        <w:t xml:space="preserve"> teachers with five or fewer years of </w:t>
      </w:r>
      <w:r w:rsidR="007153EC">
        <w:rPr>
          <w:rFonts w:ascii="Garamond" w:hAnsi="Garamond"/>
          <w:color w:val="000000"/>
          <w:szCs w:val="24"/>
        </w:rPr>
        <w:lastRenderedPageBreak/>
        <w:t>experience.</w:t>
      </w:r>
      <w:r w:rsidR="001C6AD4">
        <w:rPr>
          <w:rFonts w:ascii="Garamond" w:hAnsi="Garamond"/>
          <w:color w:val="000000"/>
          <w:szCs w:val="24"/>
        </w:rPr>
        <w:t xml:space="preserve"> Interestingly</w:t>
      </w:r>
      <w:r w:rsidR="001025B3">
        <w:rPr>
          <w:rFonts w:ascii="Garamond" w:hAnsi="Garamond"/>
          <w:color w:val="000000"/>
          <w:szCs w:val="24"/>
        </w:rPr>
        <w:t>, a n</w:t>
      </w:r>
      <w:r w:rsidR="001C6AD4">
        <w:rPr>
          <w:rFonts w:ascii="Garamond" w:hAnsi="Garamond"/>
          <w:color w:val="000000"/>
          <w:szCs w:val="24"/>
        </w:rPr>
        <w:t xml:space="preserve">ew phenomenon </w:t>
      </w:r>
      <w:r w:rsidR="00F66F61">
        <w:rPr>
          <w:rFonts w:ascii="Garamond" w:hAnsi="Garamond"/>
          <w:color w:val="000000"/>
          <w:szCs w:val="24"/>
        </w:rPr>
        <w:t xml:space="preserve">has </w:t>
      </w:r>
      <w:r w:rsidR="001C6AD4">
        <w:rPr>
          <w:rFonts w:ascii="Garamond" w:hAnsi="Garamond"/>
          <w:color w:val="000000"/>
          <w:szCs w:val="24"/>
        </w:rPr>
        <w:t xml:space="preserve">emerged </w:t>
      </w:r>
      <w:r w:rsidR="000F0609">
        <w:rPr>
          <w:rFonts w:ascii="Garamond" w:hAnsi="Garamond"/>
          <w:color w:val="000000"/>
          <w:szCs w:val="24"/>
        </w:rPr>
        <w:t>in recent</w:t>
      </w:r>
      <w:r w:rsidR="001C6AD4">
        <w:rPr>
          <w:rFonts w:ascii="Garamond" w:hAnsi="Garamond"/>
          <w:color w:val="000000"/>
          <w:szCs w:val="24"/>
        </w:rPr>
        <w:t xml:space="preserve"> years </w:t>
      </w:r>
      <w:r w:rsidR="001025B3">
        <w:rPr>
          <w:rFonts w:ascii="Garamond" w:hAnsi="Garamond"/>
          <w:color w:val="000000"/>
          <w:szCs w:val="24"/>
        </w:rPr>
        <w:t xml:space="preserve">wherein the proportion of new teachers </w:t>
      </w:r>
      <w:r w:rsidR="001025B3" w:rsidRPr="001025B3">
        <w:rPr>
          <w:rFonts w:ascii="Garamond" w:hAnsi="Garamond"/>
          <w:i/>
          <w:color w:val="000000"/>
          <w:szCs w:val="24"/>
        </w:rPr>
        <w:t>and</w:t>
      </w:r>
      <w:r w:rsidR="001025B3">
        <w:rPr>
          <w:rFonts w:ascii="Garamond" w:hAnsi="Garamond"/>
          <w:color w:val="000000"/>
          <w:szCs w:val="24"/>
        </w:rPr>
        <w:t xml:space="preserve"> the average years of experience </w:t>
      </w:r>
      <w:r w:rsidR="001C6AD4">
        <w:rPr>
          <w:rFonts w:ascii="Garamond" w:hAnsi="Garamond"/>
          <w:color w:val="000000"/>
          <w:szCs w:val="24"/>
        </w:rPr>
        <w:t xml:space="preserve">hover near </w:t>
      </w:r>
      <w:r w:rsidR="00CF0C41">
        <w:rPr>
          <w:rFonts w:ascii="Garamond" w:hAnsi="Garamond"/>
          <w:color w:val="000000"/>
          <w:szCs w:val="24"/>
        </w:rPr>
        <w:t>all-time</w:t>
      </w:r>
      <w:r w:rsidR="00483CDB">
        <w:rPr>
          <w:rFonts w:ascii="Garamond" w:hAnsi="Garamond"/>
          <w:color w:val="000000"/>
          <w:szCs w:val="24"/>
        </w:rPr>
        <w:t xml:space="preserve"> </w:t>
      </w:r>
      <w:r w:rsidR="001C6AD4">
        <w:rPr>
          <w:rFonts w:ascii="Garamond" w:hAnsi="Garamond"/>
          <w:color w:val="000000"/>
          <w:szCs w:val="24"/>
        </w:rPr>
        <w:t>lows</w:t>
      </w:r>
      <w:r w:rsidR="001025B3">
        <w:rPr>
          <w:rFonts w:ascii="Garamond" w:hAnsi="Garamond"/>
          <w:color w:val="000000"/>
          <w:szCs w:val="24"/>
        </w:rPr>
        <w:t>.</w:t>
      </w:r>
      <w:r w:rsidR="004D69C9">
        <w:rPr>
          <w:rFonts w:ascii="Garamond" w:hAnsi="Garamond"/>
          <w:color w:val="000000"/>
          <w:szCs w:val="24"/>
        </w:rPr>
        <w:t xml:space="preserve"> This suggests that</w:t>
      </w:r>
      <w:r w:rsidR="005F0892">
        <w:rPr>
          <w:rFonts w:ascii="Garamond" w:hAnsi="Garamond"/>
          <w:color w:val="000000"/>
          <w:szCs w:val="24"/>
        </w:rPr>
        <w:t xml:space="preserve"> a) the inverse relationship</w:t>
      </w:r>
      <w:r w:rsidR="004F44C9">
        <w:rPr>
          <w:rFonts w:ascii="Garamond" w:hAnsi="Garamond"/>
          <w:color w:val="000000"/>
          <w:szCs w:val="24"/>
        </w:rPr>
        <w:t xml:space="preserve"> between the share of new teachers and average experience observed throughout much of the past 20 years is now in question and b)</w:t>
      </w:r>
      <w:r w:rsidR="004D69C9">
        <w:rPr>
          <w:rFonts w:ascii="Garamond" w:hAnsi="Garamond"/>
          <w:color w:val="000000"/>
          <w:szCs w:val="24"/>
        </w:rPr>
        <w:t xml:space="preserve"> new teachers have failed to return</w:t>
      </w:r>
      <w:r w:rsidR="00FA171B">
        <w:rPr>
          <w:rFonts w:ascii="Garamond" w:hAnsi="Garamond"/>
          <w:color w:val="000000"/>
          <w:szCs w:val="24"/>
        </w:rPr>
        <w:t xml:space="preserve"> in significant numbers</w:t>
      </w:r>
      <w:r w:rsidR="001C6AD4">
        <w:rPr>
          <w:rFonts w:ascii="Garamond" w:hAnsi="Garamond"/>
          <w:color w:val="000000"/>
          <w:szCs w:val="24"/>
        </w:rPr>
        <w:t xml:space="preserve"> even </w:t>
      </w:r>
      <w:r w:rsidR="001D3900">
        <w:rPr>
          <w:rFonts w:ascii="Garamond" w:hAnsi="Garamond"/>
          <w:color w:val="000000"/>
          <w:szCs w:val="24"/>
        </w:rPr>
        <w:t>after</w:t>
      </w:r>
      <w:r w:rsidR="001C6AD4">
        <w:rPr>
          <w:rFonts w:ascii="Garamond" w:hAnsi="Garamond"/>
          <w:color w:val="000000"/>
          <w:szCs w:val="24"/>
        </w:rPr>
        <w:t xml:space="preserve"> increased education budgets</w:t>
      </w:r>
      <w:r w:rsidR="00F66F61">
        <w:rPr>
          <w:rFonts w:ascii="Garamond" w:hAnsi="Garamond"/>
          <w:color w:val="000000"/>
          <w:szCs w:val="24"/>
        </w:rPr>
        <w:t xml:space="preserve"> and intensive hiring initiatives</w:t>
      </w:r>
      <w:r w:rsidR="001D3900">
        <w:rPr>
          <w:rFonts w:ascii="Garamond" w:hAnsi="Garamond"/>
          <w:color w:val="000000"/>
          <w:szCs w:val="24"/>
        </w:rPr>
        <w:t>.</w:t>
      </w:r>
      <w:r w:rsidR="004D69C9">
        <w:rPr>
          <w:rFonts w:ascii="Garamond" w:hAnsi="Garamond"/>
          <w:color w:val="000000"/>
          <w:szCs w:val="24"/>
        </w:rPr>
        <w:t xml:space="preserve"> </w:t>
      </w:r>
      <w:r w:rsidR="001D3900">
        <w:rPr>
          <w:rFonts w:ascii="Garamond" w:hAnsi="Garamond"/>
          <w:color w:val="000000"/>
          <w:szCs w:val="24"/>
        </w:rPr>
        <w:t>A</w:t>
      </w:r>
      <w:r w:rsidR="001C6AD4">
        <w:rPr>
          <w:rFonts w:ascii="Garamond" w:hAnsi="Garamond"/>
          <w:color w:val="000000"/>
          <w:szCs w:val="24"/>
        </w:rPr>
        <w:t>t the same time</w:t>
      </w:r>
      <w:r w:rsidR="003F38F6">
        <w:rPr>
          <w:rFonts w:ascii="Garamond" w:hAnsi="Garamond"/>
          <w:color w:val="000000"/>
          <w:szCs w:val="24"/>
        </w:rPr>
        <w:t xml:space="preserve"> the most highly</w:t>
      </w:r>
      <w:r w:rsidR="00FA171B">
        <w:rPr>
          <w:rFonts w:ascii="Garamond" w:hAnsi="Garamond"/>
          <w:color w:val="000000"/>
          <w:szCs w:val="24"/>
        </w:rPr>
        <w:t xml:space="preserve"> tenured</w:t>
      </w:r>
      <w:r w:rsidR="004D69C9">
        <w:rPr>
          <w:rFonts w:ascii="Garamond" w:hAnsi="Garamond"/>
          <w:color w:val="000000"/>
          <w:szCs w:val="24"/>
        </w:rPr>
        <w:t xml:space="preserve"> </w:t>
      </w:r>
      <w:r w:rsidR="003F38F6">
        <w:rPr>
          <w:rFonts w:ascii="Garamond" w:hAnsi="Garamond"/>
          <w:color w:val="000000"/>
          <w:szCs w:val="24"/>
        </w:rPr>
        <w:t>educators</w:t>
      </w:r>
      <w:r w:rsidR="004D69C9">
        <w:rPr>
          <w:rFonts w:ascii="Garamond" w:hAnsi="Garamond"/>
          <w:color w:val="000000"/>
          <w:szCs w:val="24"/>
        </w:rPr>
        <w:t xml:space="preserve"> </w:t>
      </w:r>
      <w:r w:rsidR="001C6AD4">
        <w:rPr>
          <w:rFonts w:ascii="Garamond" w:hAnsi="Garamond"/>
          <w:color w:val="000000"/>
          <w:szCs w:val="24"/>
        </w:rPr>
        <w:t>have</w:t>
      </w:r>
      <w:r w:rsidR="001D3900">
        <w:rPr>
          <w:rFonts w:ascii="Garamond" w:hAnsi="Garamond"/>
          <w:color w:val="000000"/>
          <w:szCs w:val="24"/>
        </w:rPr>
        <w:t xml:space="preserve"> also</w:t>
      </w:r>
      <w:r w:rsidR="001C6AD4">
        <w:rPr>
          <w:rFonts w:ascii="Garamond" w:hAnsi="Garamond"/>
          <w:color w:val="000000"/>
          <w:szCs w:val="24"/>
        </w:rPr>
        <w:t xml:space="preserve"> begun</w:t>
      </w:r>
      <w:r w:rsidR="004D69C9">
        <w:rPr>
          <w:rFonts w:ascii="Garamond" w:hAnsi="Garamond"/>
          <w:color w:val="000000"/>
          <w:szCs w:val="24"/>
        </w:rPr>
        <w:t xml:space="preserve"> leaving</w:t>
      </w:r>
      <w:r w:rsidR="001C6AD4">
        <w:rPr>
          <w:rFonts w:ascii="Garamond" w:hAnsi="Garamond"/>
          <w:color w:val="000000"/>
          <w:szCs w:val="24"/>
        </w:rPr>
        <w:t xml:space="preserve"> the</w:t>
      </w:r>
      <w:r w:rsidR="004D69C9">
        <w:rPr>
          <w:rFonts w:ascii="Garamond" w:hAnsi="Garamond"/>
          <w:color w:val="000000"/>
          <w:szCs w:val="24"/>
        </w:rPr>
        <w:t xml:space="preserve"> field due to retirement</w:t>
      </w:r>
      <w:r w:rsidR="00FA171B">
        <w:rPr>
          <w:rFonts w:ascii="Garamond" w:hAnsi="Garamond"/>
          <w:color w:val="000000"/>
          <w:szCs w:val="24"/>
        </w:rPr>
        <w:t>, career changes,</w:t>
      </w:r>
      <w:r w:rsidR="001C6AD4">
        <w:rPr>
          <w:rFonts w:ascii="Garamond" w:hAnsi="Garamond"/>
          <w:color w:val="000000"/>
          <w:szCs w:val="24"/>
        </w:rPr>
        <w:t xml:space="preserve"> </w:t>
      </w:r>
      <w:r w:rsidR="00B91D6E">
        <w:rPr>
          <w:rFonts w:ascii="Garamond" w:hAnsi="Garamond"/>
          <w:color w:val="000000"/>
          <w:szCs w:val="24"/>
        </w:rPr>
        <w:t>or other reasons</w:t>
      </w:r>
      <w:r w:rsidR="004D69C9">
        <w:rPr>
          <w:rFonts w:ascii="Garamond" w:hAnsi="Garamond"/>
          <w:color w:val="000000"/>
          <w:szCs w:val="24"/>
        </w:rPr>
        <w:t>. This leaves teachers that are relatively more experienced</w:t>
      </w:r>
      <w:r w:rsidR="00B91D6E">
        <w:rPr>
          <w:rFonts w:ascii="Garamond" w:hAnsi="Garamond"/>
          <w:color w:val="000000"/>
          <w:szCs w:val="24"/>
        </w:rPr>
        <w:t xml:space="preserve"> on average</w:t>
      </w:r>
      <w:r w:rsidR="004D69C9">
        <w:rPr>
          <w:rFonts w:ascii="Garamond" w:hAnsi="Garamond"/>
          <w:color w:val="000000"/>
          <w:szCs w:val="24"/>
        </w:rPr>
        <w:t xml:space="preserve"> (i.e. more than five years) but are not yet eligible for retirement as </w:t>
      </w:r>
      <w:r w:rsidR="00F66F61">
        <w:rPr>
          <w:rFonts w:ascii="Garamond" w:hAnsi="Garamond"/>
          <w:color w:val="000000"/>
          <w:szCs w:val="24"/>
        </w:rPr>
        <w:t>a</w:t>
      </w:r>
      <w:r w:rsidR="004D69C9">
        <w:rPr>
          <w:rFonts w:ascii="Garamond" w:hAnsi="Garamond"/>
          <w:color w:val="000000"/>
          <w:szCs w:val="24"/>
        </w:rPr>
        <w:t xml:space="preserve"> </w:t>
      </w:r>
      <w:r w:rsidR="00FA171B">
        <w:rPr>
          <w:rFonts w:ascii="Garamond" w:hAnsi="Garamond"/>
          <w:color w:val="000000"/>
          <w:szCs w:val="24"/>
        </w:rPr>
        <w:t>f</w:t>
      </w:r>
      <w:r w:rsidR="00F66F61">
        <w:rPr>
          <w:rFonts w:ascii="Garamond" w:hAnsi="Garamond"/>
          <w:color w:val="000000"/>
          <w:szCs w:val="24"/>
        </w:rPr>
        <w:t>ast</w:t>
      </w:r>
      <w:r w:rsidR="00FA171B">
        <w:rPr>
          <w:rFonts w:ascii="Garamond" w:hAnsi="Garamond"/>
          <w:color w:val="000000"/>
          <w:szCs w:val="24"/>
        </w:rPr>
        <w:t>-growing</w:t>
      </w:r>
      <w:r w:rsidR="004D69C9">
        <w:rPr>
          <w:rFonts w:ascii="Garamond" w:hAnsi="Garamond"/>
          <w:color w:val="000000"/>
          <w:szCs w:val="24"/>
        </w:rPr>
        <w:t xml:space="preserve"> contingent within the educator workforce.</w:t>
      </w:r>
      <w:r w:rsidR="000F0609">
        <w:rPr>
          <w:rFonts w:ascii="Garamond" w:hAnsi="Garamond"/>
          <w:color w:val="000000"/>
          <w:szCs w:val="24"/>
        </w:rPr>
        <w:t xml:space="preserve"> Consequently, a failure to attract and retain sufficient numbers of new teachers in the </w:t>
      </w:r>
      <w:r w:rsidR="001D3900">
        <w:rPr>
          <w:rFonts w:ascii="Garamond" w:hAnsi="Garamond"/>
          <w:color w:val="000000"/>
          <w:szCs w:val="24"/>
        </w:rPr>
        <w:t>short to medium-term</w:t>
      </w:r>
      <w:r w:rsidR="000F0609">
        <w:rPr>
          <w:rFonts w:ascii="Garamond" w:hAnsi="Garamond"/>
          <w:color w:val="000000"/>
          <w:szCs w:val="24"/>
        </w:rPr>
        <w:t xml:space="preserve"> may result in </w:t>
      </w:r>
      <w:r w:rsidR="0081095A">
        <w:rPr>
          <w:rFonts w:ascii="Garamond" w:hAnsi="Garamond"/>
          <w:color w:val="000000"/>
          <w:szCs w:val="24"/>
        </w:rPr>
        <w:t>acute shortages in the future. (See Chart 9.)</w:t>
      </w:r>
      <w:r w:rsidR="004D69C9">
        <w:rPr>
          <w:rFonts w:ascii="Garamond" w:hAnsi="Garamond"/>
          <w:color w:val="000000"/>
          <w:szCs w:val="24"/>
        </w:rPr>
        <w:t xml:space="preserve"> </w:t>
      </w:r>
    </w:p>
    <w:p w:rsidR="003D6ABF" w:rsidRDefault="003D6ABF" w:rsidP="00565364">
      <w:pPr>
        <w:rPr>
          <w:rFonts w:ascii="Garamond" w:hAnsi="Garamond"/>
          <w:b/>
          <w:color w:val="000000" w:themeColor="text1"/>
          <w:sz w:val="28"/>
          <w:u w:val="single"/>
        </w:rPr>
      </w:pPr>
    </w:p>
    <w:p w:rsidR="00483CDB" w:rsidRDefault="0088038E" w:rsidP="00565364">
      <w:pPr>
        <w:rPr>
          <w:rFonts w:ascii="Garamond" w:hAnsi="Garamond"/>
          <w:b/>
          <w:color w:val="000000" w:themeColor="text1"/>
          <w:sz w:val="28"/>
          <w:u w:val="single"/>
        </w:rPr>
      </w:pPr>
      <w:r w:rsidRPr="0088038E">
        <w:rPr>
          <w:noProof/>
        </w:rPr>
        <w:drawing>
          <wp:inline distT="0" distB="0" distL="0" distR="0">
            <wp:extent cx="5486400" cy="3848799"/>
            <wp:effectExtent l="19050" t="0" r="0" b="0"/>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a:stretch>
                      <a:fillRect/>
                    </a:stretch>
                  </pic:blipFill>
                  <pic:spPr bwMode="auto">
                    <a:xfrm>
                      <a:off x="0" y="0"/>
                      <a:ext cx="5486400" cy="3848799"/>
                    </a:xfrm>
                    <a:prstGeom prst="rect">
                      <a:avLst/>
                    </a:prstGeom>
                    <a:noFill/>
                    <a:ln w="9525">
                      <a:noFill/>
                      <a:miter lim="800000"/>
                      <a:headEnd/>
                      <a:tailEnd/>
                    </a:ln>
                  </pic:spPr>
                </pic:pic>
              </a:graphicData>
            </a:graphic>
          </wp:inline>
        </w:drawing>
      </w:r>
    </w:p>
    <w:p w:rsidR="00C565B0" w:rsidRDefault="00C565B0" w:rsidP="00565364">
      <w:pPr>
        <w:rPr>
          <w:rFonts w:ascii="Garamond" w:hAnsi="Garamond"/>
          <w:b/>
          <w:color w:val="000000" w:themeColor="text1"/>
          <w:sz w:val="28"/>
          <w:u w:val="single"/>
        </w:rPr>
      </w:pPr>
    </w:p>
    <w:p w:rsidR="004F44C9" w:rsidRDefault="004F44C9" w:rsidP="00565364">
      <w:pPr>
        <w:rPr>
          <w:rFonts w:ascii="Garamond" w:hAnsi="Garamond"/>
          <w:b/>
          <w:color w:val="000000" w:themeColor="text1"/>
          <w:szCs w:val="24"/>
          <w:u w:val="single"/>
        </w:rPr>
      </w:pPr>
    </w:p>
    <w:p w:rsidR="00565364" w:rsidRPr="00874DE2" w:rsidRDefault="00B91D6E" w:rsidP="00565364">
      <w:pPr>
        <w:rPr>
          <w:rFonts w:ascii="Garamond" w:hAnsi="Garamond"/>
          <w:b/>
          <w:color w:val="000000" w:themeColor="text1"/>
          <w:szCs w:val="24"/>
          <w:u w:val="single"/>
        </w:rPr>
      </w:pPr>
      <w:r w:rsidRPr="00874DE2">
        <w:rPr>
          <w:rFonts w:ascii="Garamond" w:hAnsi="Garamond"/>
          <w:b/>
          <w:color w:val="000000" w:themeColor="text1"/>
          <w:szCs w:val="24"/>
          <w:u w:val="single"/>
        </w:rPr>
        <w:t>Projected Growth</w:t>
      </w:r>
      <w:r w:rsidR="00A71427" w:rsidRPr="00874DE2">
        <w:rPr>
          <w:rFonts w:ascii="Garamond" w:hAnsi="Garamond"/>
          <w:b/>
          <w:color w:val="000000" w:themeColor="text1"/>
          <w:szCs w:val="24"/>
          <w:u w:val="single"/>
        </w:rPr>
        <w:t xml:space="preserve"> </w:t>
      </w:r>
      <w:r w:rsidR="009E391A">
        <w:rPr>
          <w:rFonts w:ascii="Garamond" w:hAnsi="Garamond"/>
          <w:b/>
          <w:color w:val="000000" w:themeColor="text1"/>
          <w:szCs w:val="24"/>
          <w:u w:val="single"/>
        </w:rPr>
        <w:t>in the</w:t>
      </w:r>
      <w:r w:rsidR="00A71427" w:rsidRPr="00874DE2">
        <w:rPr>
          <w:rFonts w:ascii="Garamond" w:hAnsi="Garamond"/>
          <w:b/>
          <w:color w:val="000000" w:themeColor="text1"/>
          <w:szCs w:val="24"/>
          <w:u w:val="single"/>
        </w:rPr>
        <w:t xml:space="preserve"> </w:t>
      </w:r>
      <w:r w:rsidR="00205C62" w:rsidRPr="00874DE2">
        <w:rPr>
          <w:rFonts w:ascii="Garamond" w:hAnsi="Garamond"/>
          <w:b/>
          <w:color w:val="000000" w:themeColor="text1"/>
          <w:szCs w:val="24"/>
          <w:u w:val="single"/>
        </w:rPr>
        <w:t>Educational Services</w:t>
      </w:r>
      <w:r w:rsidR="009E391A">
        <w:rPr>
          <w:rFonts w:ascii="Garamond" w:hAnsi="Garamond"/>
          <w:b/>
          <w:color w:val="000000" w:themeColor="text1"/>
          <w:szCs w:val="24"/>
          <w:u w:val="single"/>
        </w:rPr>
        <w:t xml:space="preserve"> Industry</w:t>
      </w:r>
    </w:p>
    <w:p w:rsidR="00EF0872" w:rsidRPr="00FF45B2" w:rsidRDefault="00EF0872" w:rsidP="00EF0872">
      <w:pPr>
        <w:rPr>
          <w:rFonts w:ascii="Garamond" w:hAnsi="Garamond"/>
          <w:color w:val="FF0000"/>
          <w:szCs w:val="24"/>
        </w:rPr>
      </w:pPr>
    </w:p>
    <w:p w:rsidR="006233AF" w:rsidRPr="00FF45B2" w:rsidRDefault="00252874" w:rsidP="006233AF">
      <w:pPr>
        <w:rPr>
          <w:rFonts w:ascii="Garamond" w:hAnsi="Garamond"/>
          <w:color w:val="000000" w:themeColor="text1"/>
          <w:szCs w:val="24"/>
        </w:rPr>
      </w:pPr>
      <w:r>
        <w:rPr>
          <w:rFonts w:ascii="Garamond" w:hAnsi="Garamond"/>
          <w:color w:val="000000" w:themeColor="text1"/>
          <w:szCs w:val="24"/>
        </w:rPr>
        <w:t>The demand for qualified educators in the Gulf Coast will remain strong into the foreseeable future as our</w:t>
      </w:r>
      <w:r w:rsidR="001D3900">
        <w:rPr>
          <w:rFonts w:ascii="Garamond" w:hAnsi="Garamond"/>
          <w:color w:val="000000" w:themeColor="text1"/>
          <w:szCs w:val="24"/>
        </w:rPr>
        <w:t xml:space="preserve"> young</w:t>
      </w:r>
      <w:r>
        <w:rPr>
          <w:rFonts w:ascii="Garamond" w:hAnsi="Garamond"/>
          <w:color w:val="000000" w:themeColor="text1"/>
          <w:szCs w:val="24"/>
        </w:rPr>
        <w:t xml:space="preserve"> population continues to grow and more individuals recognize the importance of postsecondary education. </w:t>
      </w:r>
      <w:r w:rsidR="003F70E3" w:rsidRPr="00FF45B2">
        <w:rPr>
          <w:rFonts w:ascii="Garamond" w:hAnsi="Garamond"/>
          <w:color w:val="000000" w:themeColor="text1"/>
          <w:szCs w:val="24"/>
        </w:rPr>
        <w:t xml:space="preserve"> </w:t>
      </w:r>
    </w:p>
    <w:p w:rsidR="003F70E3" w:rsidRPr="00FF45B2" w:rsidRDefault="003F70E3" w:rsidP="006233AF">
      <w:pPr>
        <w:rPr>
          <w:rFonts w:ascii="Garamond" w:hAnsi="Garamond"/>
          <w:color w:val="000000" w:themeColor="text1"/>
          <w:szCs w:val="24"/>
        </w:rPr>
      </w:pPr>
    </w:p>
    <w:p w:rsidR="003F70E3" w:rsidRPr="00FF45B2" w:rsidRDefault="00DE1B61" w:rsidP="003F70E3">
      <w:pPr>
        <w:rPr>
          <w:rFonts w:ascii="Garamond" w:hAnsi="Garamond"/>
          <w:color w:val="000000" w:themeColor="text1"/>
          <w:szCs w:val="24"/>
        </w:rPr>
      </w:pPr>
      <w:r>
        <w:rPr>
          <w:rFonts w:ascii="Garamond" w:hAnsi="Garamond"/>
          <w:color w:val="000000" w:themeColor="text1"/>
        </w:rPr>
        <w:t>As of</w:t>
      </w:r>
      <w:r w:rsidR="001D3900">
        <w:rPr>
          <w:rFonts w:ascii="Garamond" w:hAnsi="Garamond"/>
          <w:color w:val="000000" w:themeColor="text1"/>
        </w:rPr>
        <w:t xml:space="preserve"> 2012, there were</w:t>
      </w:r>
      <w:r w:rsidR="00CD380D" w:rsidRPr="00FF45B2">
        <w:rPr>
          <w:rFonts w:ascii="Garamond" w:hAnsi="Garamond"/>
          <w:color w:val="000000" w:themeColor="text1"/>
        </w:rPr>
        <w:t xml:space="preserve"> </w:t>
      </w:r>
      <w:r w:rsidR="00E9114A">
        <w:rPr>
          <w:rFonts w:ascii="Garamond" w:hAnsi="Garamond"/>
          <w:color w:val="000000" w:themeColor="text1"/>
        </w:rPr>
        <w:t>277</w:t>
      </w:r>
      <w:r w:rsidR="001D3900">
        <w:rPr>
          <w:rFonts w:ascii="Garamond" w:hAnsi="Garamond"/>
          <w:color w:val="000000" w:themeColor="text1"/>
        </w:rPr>
        <w:t>,420</w:t>
      </w:r>
      <w:r w:rsidR="00CD380D" w:rsidRPr="00FF45B2">
        <w:rPr>
          <w:rFonts w:ascii="Garamond" w:hAnsi="Garamond"/>
          <w:color w:val="000000" w:themeColor="text1"/>
        </w:rPr>
        <w:t xml:space="preserve"> jobs in </w:t>
      </w:r>
      <w:r w:rsidR="00F50108">
        <w:rPr>
          <w:rFonts w:ascii="Garamond" w:hAnsi="Garamond"/>
          <w:color w:val="000000" w:themeColor="text1"/>
        </w:rPr>
        <w:t>e</w:t>
      </w:r>
      <w:r w:rsidR="00E9114A">
        <w:rPr>
          <w:rFonts w:ascii="Garamond" w:hAnsi="Garamond"/>
          <w:color w:val="000000" w:themeColor="text1"/>
        </w:rPr>
        <w:t>ducation</w:t>
      </w:r>
      <w:r w:rsidR="00875AB8">
        <w:rPr>
          <w:rFonts w:ascii="Garamond" w:hAnsi="Garamond"/>
          <w:color w:val="000000" w:themeColor="text1"/>
        </w:rPr>
        <w:t>al</w:t>
      </w:r>
      <w:r w:rsidR="00F50108">
        <w:rPr>
          <w:rFonts w:ascii="Garamond" w:hAnsi="Garamond"/>
          <w:color w:val="000000" w:themeColor="text1"/>
        </w:rPr>
        <w:t xml:space="preserve"> s</w:t>
      </w:r>
      <w:r w:rsidR="00E9114A">
        <w:rPr>
          <w:rFonts w:ascii="Garamond" w:hAnsi="Garamond"/>
          <w:color w:val="000000" w:themeColor="text1"/>
        </w:rPr>
        <w:t>ervices (public and private)</w:t>
      </w:r>
      <w:r w:rsidR="003F70E3" w:rsidRPr="00FF45B2">
        <w:rPr>
          <w:rFonts w:ascii="Garamond" w:hAnsi="Garamond"/>
          <w:color w:val="000000" w:themeColor="text1"/>
        </w:rPr>
        <w:t xml:space="preserve"> </w:t>
      </w:r>
      <w:r w:rsidR="00CD380D" w:rsidRPr="00FF45B2">
        <w:rPr>
          <w:rFonts w:ascii="Garamond" w:hAnsi="Garamond"/>
          <w:color w:val="000000" w:themeColor="text1"/>
        </w:rPr>
        <w:t>according to estimates produced by</w:t>
      </w:r>
      <w:r w:rsidR="001D3900">
        <w:rPr>
          <w:rFonts w:ascii="Garamond" w:hAnsi="Garamond"/>
          <w:color w:val="000000" w:themeColor="text1"/>
        </w:rPr>
        <w:t xml:space="preserve"> th</w:t>
      </w:r>
      <w:r w:rsidR="00294274">
        <w:rPr>
          <w:rFonts w:ascii="Garamond" w:hAnsi="Garamond"/>
          <w:color w:val="000000" w:themeColor="text1"/>
        </w:rPr>
        <w:t>e Texas Workforce Commission. (S</w:t>
      </w:r>
      <w:r w:rsidR="00CD380D" w:rsidRPr="00FF45B2">
        <w:rPr>
          <w:rFonts w:ascii="Garamond" w:hAnsi="Garamond"/>
          <w:color w:val="000000" w:themeColor="text1"/>
        </w:rPr>
        <w:t>ee Table 1.</w:t>
      </w:r>
      <w:r w:rsidR="000A11B1">
        <w:rPr>
          <w:rFonts w:ascii="Garamond" w:hAnsi="Garamond"/>
          <w:color w:val="000000" w:themeColor="text1"/>
        </w:rPr>
        <w:t xml:space="preserve"> and Chart 10.</w:t>
      </w:r>
      <w:r w:rsidR="001D3900">
        <w:rPr>
          <w:rFonts w:ascii="Garamond" w:hAnsi="Garamond"/>
          <w:color w:val="000000" w:themeColor="text1"/>
        </w:rPr>
        <w:t>)</w:t>
      </w:r>
      <w:r w:rsidR="00CD380D" w:rsidRPr="00FF45B2">
        <w:rPr>
          <w:rFonts w:ascii="Garamond" w:hAnsi="Garamond"/>
          <w:color w:val="000000" w:themeColor="text1"/>
        </w:rPr>
        <w:t xml:space="preserve"> </w:t>
      </w:r>
      <w:r w:rsidR="00E9114A">
        <w:rPr>
          <w:rFonts w:ascii="Garamond" w:hAnsi="Garamond"/>
          <w:color w:val="000000" w:themeColor="text1"/>
        </w:rPr>
        <w:t>This sector is</w:t>
      </w:r>
      <w:r w:rsidR="003F70E3" w:rsidRPr="00FF45B2">
        <w:rPr>
          <w:rFonts w:ascii="Garamond" w:hAnsi="Garamond"/>
          <w:color w:val="000000" w:themeColor="text1"/>
          <w:szCs w:val="24"/>
        </w:rPr>
        <w:t xml:space="preserve"> projected to add </w:t>
      </w:r>
      <w:r w:rsidR="00D41071">
        <w:rPr>
          <w:rFonts w:ascii="Garamond" w:hAnsi="Garamond"/>
          <w:color w:val="000000" w:themeColor="text1"/>
          <w:szCs w:val="24"/>
        </w:rPr>
        <w:t>70,260</w:t>
      </w:r>
      <w:r w:rsidR="00E9114A">
        <w:rPr>
          <w:rFonts w:ascii="Garamond" w:hAnsi="Garamond"/>
          <w:color w:val="000000" w:themeColor="text1"/>
          <w:szCs w:val="24"/>
        </w:rPr>
        <w:t xml:space="preserve"> jobs</w:t>
      </w:r>
      <w:r w:rsidR="003F70E3" w:rsidRPr="00FF45B2">
        <w:rPr>
          <w:rFonts w:ascii="Garamond" w:hAnsi="Garamond"/>
          <w:color w:val="000000" w:themeColor="text1"/>
          <w:szCs w:val="24"/>
        </w:rPr>
        <w:t xml:space="preserve"> </w:t>
      </w:r>
      <w:r w:rsidR="00E9114A">
        <w:rPr>
          <w:rFonts w:ascii="Garamond" w:hAnsi="Garamond"/>
          <w:color w:val="000000" w:themeColor="text1"/>
          <w:szCs w:val="24"/>
        </w:rPr>
        <w:t>between 2012 and 2022 for a</w:t>
      </w:r>
      <w:r w:rsidR="00875AB8">
        <w:rPr>
          <w:rFonts w:ascii="Garamond" w:hAnsi="Garamond"/>
          <w:color w:val="000000" w:themeColor="text1"/>
          <w:szCs w:val="24"/>
        </w:rPr>
        <w:t>n above average</w:t>
      </w:r>
      <w:r w:rsidR="00E9114A">
        <w:rPr>
          <w:rFonts w:ascii="Garamond" w:hAnsi="Garamond"/>
          <w:color w:val="000000" w:themeColor="text1"/>
          <w:szCs w:val="24"/>
        </w:rPr>
        <w:t xml:space="preserve"> growth rate of 25.3%.</w:t>
      </w:r>
      <w:r w:rsidR="003F70E3" w:rsidRPr="00FF45B2">
        <w:rPr>
          <w:rFonts w:ascii="Garamond" w:hAnsi="Garamond"/>
          <w:color w:val="000000" w:themeColor="text1"/>
          <w:szCs w:val="24"/>
        </w:rPr>
        <w:t xml:space="preserve"> </w:t>
      </w:r>
    </w:p>
    <w:p w:rsidR="00CD380D" w:rsidRPr="00FF45B2" w:rsidRDefault="00CD380D" w:rsidP="00CD380D">
      <w:pPr>
        <w:rPr>
          <w:rFonts w:ascii="Garamond" w:hAnsi="Garamond"/>
          <w:color w:val="FF0000"/>
        </w:rPr>
      </w:pPr>
    </w:p>
    <w:p w:rsidR="00CD380D" w:rsidRPr="00FF45B2" w:rsidRDefault="00875AB8" w:rsidP="00CD380D">
      <w:pPr>
        <w:rPr>
          <w:rFonts w:ascii="Garamond" w:hAnsi="Garamond"/>
          <w:color w:val="000000" w:themeColor="text1"/>
        </w:rPr>
      </w:pPr>
      <w:r>
        <w:rPr>
          <w:rFonts w:ascii="Garamond" w:hAnsi="Garamond"/>
          <w:b/>
          <w:color w:val="000000" w:themeColor="text1"/>
        </w:rPr>
        <w:lastRenderedPageBreak/>
        <w:t>Elementary &amp; Secondary Schools, Public &amp; Private</w:t>
      </w:r>
      <w:r w:rsidR="00CD380D" w:rsidRPr="00FF45B2">
        <w:rPr>
          <w:rFonts w:ascii="Garamond" w:hAnsi="Garamond"/>
          <w:b/>
          <w:color w:val="000000" w:themeColor="text1"/>
        </w:rPr>
        <w:t xml:space="preserve"> </w:t>
      </w:r>
      <w:r w:rsidR="00CD380D" w:rsidRPr="00FF45B2">
        <w:rPr>
          <w:rFonts w:ascii="Garamond" w:hAnsi="Garamond"/>
          <w:color w:val="000000" w:themeColor="text1"/>
        </w:rPr>
        <w:t>are expected to</w:t>
      </w:r>
      <w:r w:rsidR="001D6E23" w:rsidRPr="00FF45B2">
        <w:rPr>
          <w:rFonts w:ascii="Garamond" w:hAnsi="Garamond"/>
          <w:color w:val="000000" w:themeColor="text1"/>
        </w:rPr>
        <w:t xml:space="preserve"> increase payrolls by</w:t>
      </w:r>
      <w:r>
        <w:rPr>
          <w:rFonts w:ascii="Garamond" w:hAnsi="Garamond"/>
          <w:color w:val="000000" w:themeColor="text1"/>
        </w:rPr>
        <w:t xml:space="preserve"> </w:t>
      </w:r>
      <w:r w:rsidR="00D41071">
        <w:rPr>
          <w:rFonts w:ascii="Garamond" w:hAnsi="Garamond"/>
          <w:color w:val="000000" w:themeColor="text1"/>
        </w:rPr>
        <w:t xml:space="preserve">51,550 </w:t>
      </w:r>
      <w:r>
        <w:rPr>
          <w:rFonts w:ascii="Garamond" w:hAnsi="Garamond"/>
          <w:color w:val="000000" w:themeColor="text1"/>
        </w:rPr>
        <w:t>from</w:t>
      </w:r>
      <w:r w:rsidR="001D6E23" w:rsidRPr="00FF45B2">
        <w:rPr>
          <w:rFonts w:ascii="Garamond" w:hAnsi="Garamond"/>
          <w:color w:val="000000" w:themeColor="text1"/>
        </w:rPr>
        <w:t xml:space="preserve"> 2012 to 2022 and will </w:t>
      </w:r>
      <w:r w:rsidR="00CD380D" w:rsidRPr="00FF45B2">
        <w:rPr>
          <w:rFonts w:ascii="Garamond" w:hAnsi="Garamond"/>
          <w:color w:val="000000" w:themeColor="text1"/>
        </w:rPr>
        <w:t>account for the largest number of</w:t>
      </w:r>
      <w:r w:rsidR="001D6E23" w:rsidRPr="00FF45B2">
        <w:rPr>
          <w:rFonts w:ascii="Garamond" w:hAnsi="Garamond"/>
          <w:color w:val="000000" w:themeColor="text1"/>
        </w:rPr>
        <w:t xml:space="preserve"> jobs in </w:t>
      </w:r>
      <w:r>
        <w:rPr>
          <w:rFonts w:ascii="Garamond" w:hAnsi="Garamond"/>
          <w:color w:val="000000" w:themeColor="text1"/>
        </w:rPr>
        <w:t>education representing two-thirds of total educational services</w:t>
      </w:r>
      <w:r w:rsidR="001D6E23" w:rsidRPr="00FF45B2">
        <w:rPr>
          <w:rFonts w:ascii="Garamond" w:hAnsi="Garamond"/>
          <w:color w:val="000000" w:themeColor="text1"/>
        </w:rPr>
        <w:t xml:space="preserve"> employment </w:t>
      </w:r>
      <w:r>
        <w:rPr>
          <w:rFonts w:ascii="Garamond" w:hAnsi="Garamond"/>
          <w:color w:val="000000" w:themeColor="text1"/>
        </w:rPr>
        <w:t>by</w:t>
      </w:r>
      <w:r w:rsidR="001D6E23" w:rsidRPr="00FF45B2">
        <w:rPr>
          <w:rFonts w:ascii="Garamond" w:hAnsi="Garamond"/>
          <w:color w:val="000000" w:themeColor="text1"/>
        </w:rPr>
        <w:t xml:space="preserve"> 2022.</w:t>
      </w:r>
      <w:r w:rsidR="00F50108">
        <w:rPr>
          <w:rFonts w:ascii="Garamond" w:hAnsi="Garamond"/>
          <w:color w:val="000000" w:themeColor="text1"/>
        </w:rPr>
        <w:t xml:space="preserve"> This industry is projected to grow 28.3% over the decade for the third-highest growth rate of any education-related industry.</w:t>
      </w:r>
      <w:r w:rsidR="001D6E23" w:rsidRPr="00FF45B2">
        <w:rPr>
          <w:rFonts w:ascii="Garamond" w:hAnsi="Garamond"/>
          <w:color w:val="000000" w:themeColor="text1"/>
        </w:rPr>
        <w:t xml:space="preserve"> </w:t>
      </w:r>
    </w:p>
    <w:p w:rsidR="001D6E23" w:rsidRPr="00FF45B2" w:rsidRDefault="001D6E23" w:rsidP="00CD380D">
      <w:pPr>
        <w:rPr>
          <w:rFonts w:ascii="Garamond" w:hAnsi="Garamond"/>
          <w:color w:val="000000" w:themeColor="text1"/>
        </w:rPr>
      </w:pPr>
    </w:p>
    <w:p w:rsidR="001D6E23" w:rsidRPr="00FF45B2" w:rsidRDefault="00F50108" w:rsidP="00CD380D">
      <w:pPr>
        <w:rPr>
          <w:rFonts w:ascii="Garamond" w:hAnsi="Garamond"/>
          <w:color w:val="000000" w:themeColor="text1"/>
        </w:rPr>
      </w:pPr>
      <w:r>
        <w:rPr>
          <w:rFonts w:ascii="Garamond" w:hAnsi="Garamond"/>
          <w:b/>
          <w:color w:val="000000" w:themeColor="text1"/>
        </w:rPr>
        <w:t>Colleges and Universities, Public &amp; Private</w:t>
      </w:r>
      <w:r w:rsidR="001D6E23" w:rsidRPr="00FF45B2">
        <w:rPr>
          <w:rFonts w:ascii="Garamond" w:hAnsi="Garamond"/>
          <w:b/>
          <w:color w:val="000000" w:themeColor="text1"/>
        </w:rPr>
        <w:t xml:space="preserve"> </w:t>
      </w:r>
      <w:r w:rsidR="001D6E23" w:rsidRPr="00FF45B2">
        <w:rPr>
          <w:rFonts w:ascii="Garamond" w:hAnsi="Garamond"/>
          <w:color w:val="000000" w:themeColor="text1"/>
        </w:rPr>
        <w:t xml:space="preserve">are expected to increase payrolls by </w:t>
      </w:r>
      <w:r>
        <w:rPr>
          <w:rFonts w:ascii="Garamond" w:hAnsi="Garamond"/>
          <w:color w:val="000000" w:themeColor="text1"/>
        </w:rPr>
        <w:t>from 62,340 in 2012 to 74,480 in 2022. This industry is the second-largest within education</w:t>
      </w:r>
      <w:r w:rsidR="00483CDB">
        <w:rPr>
          <w:rFonts w:ascii="Garamond" w:hAnsi="Garamond"/>
          <w:color w:val="000000" w:themeColor="text1"/>
        </w:rPr>
        <w:t>al</w:t>
      </w:r>
      <w:r>
        <w:rPr>
          <w:rFonts w:ascii="Garamond" w:hAnsi="Garamond"/>
          <w:color w:val="000000" w:themeColor="text1"/>
        </w:rPr>
        <w:t xml:space="preserve"> services and is projected to account for one out every five education-related jobs in the region throughout the decade despite a slower-than-average growth rate of 19.5%.</w:t>
      </w:r>
      <w:r w:rsidR="001D6E23" w:rsidRPr="00FF45B2">
        <w:rPr>
          <w:rFonts w:ascii="Garamond" w:hAnsi="Garamond"/>
          <w:color w:val="000000" w:themeColor="text1"/>
        </w:rPr>
        <w:t xml:space="preserve"> </w:t>
      </w:r>
    </w:p>
    <w:p w:rsidR="001D6E23" w:rsidRPr="00FF45B2" w:rsidRDefault="001D6E23" w:rsidP="00CD380D">
      <w:pPr>
        <w:rPr>
          <w:rFonts w:ascii="Garamond" w:hAnsi="Garamond"/>
          <w:color w:val="000000" w:themeColor="text1"/>
        </w:rPr>
      </w:pPr>
    </w:p>
    <w:p w:rsidR="001D6E23" w:rsidRDefault="00F50108" w:rsidP="00CD380D">
      <w:pPr>
        <w:rPr>
          <w:rFonts w:ascii="Garamond" w:hAnsi="Garamond"/>
          <w:color w:val="000000" w:themeColor="text1"/>
        </w:rPr>
      </w:pPr>
      <w:r>
        <w:rPr>
          <w:rFonts w:ascii="Garamond" w:hAnsi="Garamond"/>
          <w:b/>
          <w:color w:val="000000" w:themeColor="text1"/>
        </w:rPr>
        <w:t>Junior Colleges, Public &amp; Private</w:t>
      </w:r>
      <w:r w:rsidR="001D6E23" w:rsidRPr="00FF45B2">
        <w:rPr>
          <w:rFonts w:ascii="Garamond" w:hAnsi="Garamond"/>
          <w:b/>
          <w:color w:val="000000" w:themeColor="text1"/>
        </w:rPr>
        <w:t xml:space="preserve"> </w:t>
      </w:r>
      <w:r w:rsidR="001D6E23" w:rsidRPr="00FF45B2">
        <w:rPr>
          <w:rFonts w:ascii="Garamond" w:hAnsi="Garamond"/>
          <w:color w:val="000000" w:themeColor="text1"/>
        </w:rPr>
        <w:t xml:space="preserve">are expected to </w:t>
      </w:r>
      <w:r>
        <w:rPr>
          <w:rFonts w:ascii="Garamond" w:hAnsi="Garamond"/>
          <w:color w:val="000000" w:themeColor="text1"/>
        </w:rPr>
        <w:t>add</w:t>
      </w:r>
      <w:r w:rsidR="00491FBE">
        <w:rPr>
          <w:rFonts w:ascii="Garamond" w:hAnsi="Garamond"/>
          <w:color w:val="000000" w:themeColor="text1"/>
        </w:rPr>
        <w:t xml:space="preserve"> 3,520 jobs</w:t>
      </w:r>
      <w:r w:rsidR="001D6E23" w:rsidRPr="00FF45B2">
        <w:rPr>
          <w:rFonts w:ascii="Garamond" w:hAnsi="Garamond"/>
          <w:color w:val="000000" w:themeColor="text1"/>
        </w:rPr>
        <w:t xml:space="preserve"> </w:t>
      </w:r>
      <w:r w:rsidR="00491FBE">
        <w:rPr>
          <w:rFonts w:ascii="Garamond" w:hAnsi="Garamond"/>
          <w:color w:val="000000" w:themeColor="text1"/>
        </w:rPr>
        <w:t>between</w:t>
      </w:r>
      <w:r w:rsidR="00483CDB">
        <w:rPr>
          <w:rFonts w:ascii="Garamond" w:hAnsi="Garamond"/>
          <w:color w:val="000000" w:themeColor="text1"/>
        </w:rPr>
        <w:t xml:space="preserve"> 2012 and</w:t>
      </w:r>
      <w:r w:rsidR="001D6E23" w:rsidRPr="00FF45B2">
        <w:rPr>
          <w:rFonts w:ascii="Garamond" w:hAnsi="Garamond"/>
          <w:color w:val="000000" w:themeColor="text1"/>
        </w:rPr>
        <w:t xml:space="preserve"> 2022 and will account for about </w:t>
      </w:r>
      <w:r w:rsidR="00491FBE">
        <w:rPr>
          <w:rFonts w:ascii="Garamond" w:hAnsi="Garamond"/>
          <w:color w:val="000000" w:themeColor="text1"/>
        </w:rPr>
        <w:t>7</w:t>
      </w:r>
      <w:r w:rsidR="004F44C9">
        <w:rPr>
          <w:rFonts w:ascii="Garamond" w:hAnsi="Garamond"/>
          <w:color w:val="000000" w:themeColor="text1"/>
        </w:rPr>
        <w:t xml:space="preserve">% </w:t>
      </w:r>
      <w:r w:rsidR="001D6E23" w:rsidRPr="00FF45B2">
        <w:rPr>
          <w:rFonts w:ascii="Garamond" w:hAnsi="Garamond"/>
          <w:color w:val="000000" w:themeColor="text1"/>
        </w:rPr>
        <w:t xml:space="preserve">of total </w:t>
      </w:r>
      <w:r w:rsidR="00491FBE">
        <w:rPr>
          <w:rFonts w:ascii="Garamond" w:hAnsi="Garamond"/>
          <w:color w:val="000000" w:themeColor="text1"/>
        </w:rPr>
        <w:t>education</w:t>
      </w:r>
      <w:r w:rsidR="001D6E23" w:rsidRPr="00FF45B2">
        <w:rPr>
          <w:rFonts w:ascii="Garamond" w:hAnsi="Garamond"/>
          <w:color w:val="000000" w:themeColor="text1"/>
        </w:rPr>
        <w:t xml:space="preserve"> employment </w:t>
      </w:r>
      <w:r w:rsidR="00491FBE">
        <w:rPr>
          <w:rFonts w:ascii="Garamond" w:hAnsi="Garamond"/>
          <w:color w:val="000000" w:themeColor="text1"/>
        </w:rPr>
        <w:t>throughout the decade. Similar to colleges and universities, this education industry is projected to grow slower than average at 17.6%.</w:t>
      </w:r>
    </w:p>
    <w:p w:rsidR="00491FBE" w:rsidRDefault="00491FBE" w:rsidP="00CD380D">
      <w:pPr>
        <w:rPr>
          <w:rFonts w:ascii="Garamond" w:hAnsi="Garamond"/>
          <w:color w:val="000000" w:themeColor="text1"/>
        </w:rPr>
      </w:pPr>
    </w:p>
    <w:p w:rsidR="00491FBE" w:rsidRPr="00FF45B2" w:rsidRDefault="00491FBE" w:rsidP="00CD380D">
      <w:pPr>
        <w:rPr>
          <w:rFonts w:ascii="Garamond" w:hAnsi="Garamond"/>
          <w:color w:val="000000" w:themeColor="text1"/>
        </w:rPr>
      </w:pPr>
      <w:r>
        <w:rPr>
          <w:rFonts w:ascii="Garamond" w:hAnsi="Garamond"/>
          <w:color w:val="000000" w:themeColor="text1"/>
        </w:rPr>
        <w:t xml:space="preserve">All other educational services industries (public and private) combined, are projected to grow from 12,670 top 15,710 jobs between 2012 and 2022. </w:t>
      </w:r>
      <w:r w:rsidR="005B1698">
        <w:rPr>
          <w:rFonts w:ascii="Garamond" w:hAnsi="Garamond"/>
          <w:color w:val="000000" w:themeColor="text1"/>
        </w:rPr>
        <w:t xml:space="preserve">Within this group, </w:t>
      </w:r>
      <w:r w:rsidRPr="00491FBE">
        <w:rPr>
          <w:rFonts w:ascii="Garamond" w:hAnsi="Garamond"/>
          <w:b/>
          <w:color w:val="000000" w:themeColor="text1"/>
        </w:rPr>
        <w:t>Educational Support Services, Public &amp; Private</w:t>
      </w:r>
      <w:r>
        <w:rPr>
          <w:rFonts w:ascii="Garamond" w:hAnsi="Garamond"/>
          <w:color w:val="000000" w:themeColor="text1"/>
        </w:rPr>
        <w:t xml:space="preserve"> are projected to have the fastest growth rate of any education-related industry at 29.5% however this industry also has some the lowest employment levels </w:t>
      </w:r>
      <w:r w:rsidR="005B1698">
        <w:rPr>
          <w:rFonts w:ascii="Garamond" w:hAnsi="Garamond"/>
          <w:color w:val="000000" w:themeColor="text1"/>
        </w:rPr>
        <w:t>making up only 0.5% of education employment throughout the decade</w:t>
      </w:r>
      <w:r>
        <w:rPr>
          <w:rFonts w:ascii="Garamond" w:hAnsi="Garamond"/>
          <w:color w:val="000000" w:themeColor="text1"/>
        </w:rPr>
        <w:t xml:space="preserve">.   </w:t>
      </w:r>
    </w:p>
    <w:p w:rsidR="005B1698" w:rsidRPr="000A11B1" w:rsidRDefault="00FE09DB" w:rsidP="00565364">
      <w:pPr>
        <w:rPr>
          <w:szCs w:val="12"/>
        </w:rPr>
      </w:pPr>
      <w:r w:rsidRPr="000A11B1">
        <w:rPr>
          <w:noProof/>
          <w:szCs w:val="12"/>
        </w:rPr>
        <w:drawing>
          <wp:anchor distT="0" distB="0" distL="114300" distR="114300" simplePos="0" relativeHeight="251658240" behindDoc="0" locked="0" layoutInCell="1" allowOverlap="1">
            <wp:simplePos x="0" y="0"/>
            <wp:positionH relativeFrom="column">
              <wp:posOffset>-560705</wp:posOffset>
            </wp:positionH>
            <wp:positionV relativeFrom="paragraph">
              <wp:posOffset>158750</wp:posOffset>
            </wp:positionV>
            <wp:extent cx="6593840" cy="179895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6593840" cy="1798955"/>
                    </a:xfrm>
                    <a:prstGeom prst="rect">
                      <a:avLst/>
                    </a:prstGeom>
                    <a:noFill/>
                    <a:ln w="9525">
                      <a:noFill/>
                      <a:miter lim="800000"/>
                      <a:headEnd/>
                      <a:tailEnd/>
                    </a:ln>
                  </pic:spPr>
                </pic:pic>
              </a:graphicData>
            </a:graphic>
          </wp:anchor>
        </w:drawing>
      </w:r>
    </w:p>
    <w:p w:rsidR="005B1698" w:rsidRDefault="000A11B1" w:rsidP="00565364">
      <w:pPr>
        <w:rPr>
          <w:rFonts w:ascii="Garamond" w:hAnsi="Garamond"/>
          <w:sz w:val="12"/>
          <w:szCs w:val="12"/>
        </w:rPr>
      </w:pPr>
      <w:r w:rsidRPr="000A11B1">
        <w:rPr>
          <w:noProof/>
          <w:szCs w:val="12"/>
        </w:rPr>
        <w:lastRenderedPageBreak/>
        <w:drawing>
          <wp:inline distT="0" distB="0" distL="0" distR="0">
            <wp:extent cx="5486400" cy="3779467"/>
            <wp:effectExtent l="19050" t="0" r="0"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srcRect/>
                    <a:stretch>
                      <a:fillRect/>
                    </a:stretch>
                  </pic:blipFill>
                  <pic:spPr bwMode="auto">
                    <a:xfrm>
                      <a:off x="0" y="0"/>
                      <a:ext cx="5486400" cy="3779467"/>
                    </a:xfrm>
                    <a:prstGeom prst="rect">
                      <a:avLst/>
                    </a:prstGeom>
                    <a:noFill/>
                    <a:ln w="9525">
                      <a:noFill/>
                      <a:miter lim="800000"/>
                      <a:headEnd/>
                      <a:tailEnd/>
                    </a:ln>
                  </pic:spPr>
                </pic:pic>
              </a:graphicData>
            </a:graphic>
          </wp:inline>
        </w:drawing>
      </w:r>
    </w:p>
    <w:p w:rsidR="005B1698" w:rsidRDefault="005B1698" w:rsidP="00565364">
      <w:pPr>
        <w:rPr>
          <w:rFonts w:ascii="Garamond" w:hAnsi="Garamond"/>
          <w:sz w:val="12"/>
          <w:szCs w:val="12"/>
        </w:rPr>
      </w:pPr>
    </w:p>
    <w:p w:rsidR="005B1698" w:rsidRDefault="005B1698" w:rsidP="00565364">
      <w:pPr>
        <w:rPr>
          <w:rFonts w:ascii="Garamond" w:hAnsi="Garamond"/>
          <w:sz w:val="12"/>
          <w:szCs w:val="12"/>
        </w:rPr>
      </w:pPr>
    </w:p>
    <w:p w:rsidR="00294274" w:rsidRPr="000A11B1" w:rsidRDefault="00294274" w:rsidP="00294274">
      <w:pPr>
        <w:rPr>
          <w:rFonts w:ascii="Garamond" w:hAnsi="Garamond"/>
          <w:color w:val="000000" w:themeColor="text1"/>
        </w:rPr>
      </w:pPr>
      <w:r w:rsidRPr="00874DE2">
        <w:rPr>
          <w:rFonts w:ascii="Garamond" w:hAnsi="Garamond"/>
          <w:b/>
          <w:color w:val="000000" w:themeColor="text1"/>
          <w:szCs w:val="24"/>
          <w:u w:val="single"/>
        </w:rPr>
        <w:t xml:space="preserve">Projected Growth </w:t>
      </w:r>
      <w:r>
        <w:rPr>
          <w:rFonts w:ascii="Garamond" w:hAnsi="Garamond"/>
          <w:b/>
          <w:color w:val="000000" w:themeColor="text1"/>
          <w:szCs w:val="24"/>
          <w:u w:val="single"/>
        </w:rPr>
        <w:t xml:space="preserve">in </w:t>
      </w:r>
      <w:r w:rsidR="005D085B">
        <w:rPr>
          <w:rFonts w:ascii="Garamond" w:hAnsi="Garamond"/>
          <w:b/>
          <w:color w:val="000000" w:themeColor="text1"/>
          <w:szCs w:val="24"/>
          <w:u w:val="single"/>
        </w:rPr>
        <w:t>Primary</w:t>
      </w:r>
      <w:r w:rsidR="00EE1838">
        <w:rPr>
          <w:rFonts w:ascii="Garamond" w:hAnsi="Garamond"/>
          <w:b/>
          <w:color w:val="000000" w:themeColor="text1"/>
          <w:szCs w:val="24"/>
          <w:u w:val="single"/>
        </w:rPr>
        <w:t xml:space="preserve"> &amp; </w:t>
      </w:r>
      <w:r w:rsidR="005D085B">
        <w:rPr>
          <w:rFonts w:ascii="Garamond" w:hAnsi="Garamond"/>
          <w:b/>
          <w:color w:val="000000" w:themeColor="text1"/>
          <w:szCs w:val="24"/>
          <w:u w:val="single"/>
        </w:rPr>
        <w:t xml:space="preserve">Secondary School </w:t>
      </w:r>
      <w:r>
        <w:rPr>
          <w:rFonts w:ascii="Garamond" w:hAnsi="Garamond"/>
          <w:b/>
          <w:color w:val="000000" w:themeColor="text1"/>
          <w:szCs w:val="24"/>
          <w:u w:val="single"/>
        </w:rPr>
        <w:t xml:space="preserve">Teacher </w:t>
      </w:r>
      <w:r w:rsidR="00EE1838">
        <w:rPr>
          <w:rFonts w:ascii="Garamond" w:hAnsi="Garamond"/>
          <w:b/>
          <w:color w:val="000000" w:themeColor="text1"/>
          <w:szCs w:val="24"/>
          <w:u w:val="single"/>
        </w:rPr>
        <w:t>&amp;</w:t>
      </w:r>
      <w:r>
        <w:rPr>
          <w:rFonts w:ascii="Garamond" w:hAnsi="Garamond"/>
          <w:b/>
          <w:color w:val="000000" w:themeColor="text1"/>
          <w:szCs w:val="24"/>
          <w:u w:val="single"/>
        </w:rPr>
        <w:t xml:space="preserve"> School Counselor Occupations</w:t>
      </w:r>
    </w:p>
    <w:p w:rsidR="00294274" w:rsidRPr="00FF45B2" w:rsidRDefault="00294274" w:rsidP="00294274">
      <w:pPr>
        <w:rPr>
          <w:rFonts w:ascii="Garamond" w:hAnsi="Garamond"/>
          <w:color w:val="FF0000"/>
          <w:szCs w:val="24"/>
        </w:rPr>
      </w:pPr>
    </w:p>
    <w:p w:rsidR="00294274" w:rsidRDefault="00294274" w:rsidP="00294274">
      <w:pPr>
        <w:rPr>
          <w:rFonts w:ascii="Garamond" w:hAnsi="Garamond"/>
          <w:color w:val="000000" w:themeColor="text1"/>
          <w:szCs w:val="24"/>
        </w:rPr>
      </w:pPr>
    </w:p>
    <w:p w:rsidR="00294274" w:rsidRPr="00FF45B2" w:rsidRDefault="00294274" w:rsidP="00294274">
      <w:pPr>
        <w:rPr>
          <w:rFonts w:ascii="Garamond" w:hAnsi="Garamond"/>
          <w:color w:val="000000" w:themeColor="text1"/>
          <w:szCs w:val="24"/>
        </w:rPr>
      </w:pPr>
      <w:r>
        <w:rPr>
          <w:rFonts w:ascii="Garamond" w:hAnsi="Garamond"/>
          <w:color w:val="000000" w:themeColor="text1"/>
        </w:rPr>
        <w:t>As of 2012, there were</w:t>
      </w:r>
      <w:r w:rsidRPr="00FF45B2">
        <w:rPr>
          <w:rFonts w:ascii="Garamond" w:hAnsi="Garamond"/>
          <w:color w:val="000000" w:themeColor="text1"/>
        </w:rPr>
        <w:t xml:space="preserve"> </w:t>
      </w:r>
      <w:r>
        <w:rPr>
          <w:rFonts w:ascii="Garamond" w:hAnsi="Garamond"/>
          <w:color w:val="000000" w:themeColor="text1"/>
        </w:rPr>
        <w:t>90,900</w:t>
      </w:r>
      <w:r w:rsidRPr="00FF45B2">
        <w:rPr>
          <w:rFonts w:ascii="Garamond" w:hAnsi="Garamond"/>
          <w:color w:val="000000" w:themeColor="text1"/>
        </w:rPr>
        <w:t xml:space="preserve"> </w:t>
      </w:r>
      <w:r w:rsidRPr="00294274">
        <w:rPr>
          <w:rFonts w:ascii="Garamond" w:hAnsi="Garamond"/>
          <w:b/>
          <w:color w:val="000000" w:themeColor="text1"/>
        </w:rPr>
        <w:t>Preschool, Primary, Secondary, &amp; Special Education Teachers</w:t>
      </w:r>
      <w:r>
        <w:rPr>
          <w:rFonts w:ascii="Garamond" w:hAnsi="Garamond"/>
          <w:color w:val="000000" w:themeColor="text1"/>
        </w:rPr>
        <w:t xml:space="preserve"> in the Gulf Coast region</w:t>
      </w:r>
      <w:r w:rsidRPr="00FF45B2">
        <w:rPr>
          <w:rFonts w:ascii="Garamond" w:hAnsi="Garamond"/>
          <w:color w:val="000000" w:themeColor="text1"/>
        </w:rPr>
        <w:t xml:space="preserve"> according to estimates produced by</w:t>
      </w:r>
      <w:r>
        <w:rPr>
          <w:rFonts w:ascii="Garamond" w:hAnsi="Garamond"/>
          <w:color w:val="000000" w:themeColor="text1"/>
        </w:rPr>
        <w:t xml:space="preserve"> the Texas Workforce Commission. (See Table 2</w:t>
      </w:r>
      <w:r w:rsidRPr="00FF45B2">
        <w:rPr>
          <w:rFonts w:ascii="Garamond" w:hAnsi="Garamond"/>
          <w:color w:val="000000" w:themeColor="text1"/>
        </w:rPr>
        <w:t>.</w:t>
      </w:r>
      <w:r w:rsidR="0071023F">
        <w:rPr>
          <w:rFonts w:ascii="Garamond" w:hAnsi="Garamond"/>
          <w:color w:val="000000" w:themeColor="text1"/>
        </w:rPr>
        <w:t xml:space="preserve"> and </w:t>
      </w:r>
      <w:r w:rsidR="000A11B1">
        <w:rPr>
          <w:rFonts w:ascii="Garamond" w:hAnsi="Garamond"/>
          <w:color w:val="000000" w:themeColor="text1"/>
        </w:rPr>
        <w:t>Chart 11</w:t>
      </w:r>
      <w:r w:rsidR="0071023F">
        <w:rPr>
          <w:rFonts w:ascii="Garamond" w:hAnsi="Garamond"/>
          <w:color w:val="000000" w:themeColor="text1"/>
        </w:rPr>
        <w:t>.</w:t>
      </w:r>
      <w:r>
        <w:rPr>
          <w:rFonts w:ascii="Garamond" w:hAnsi="Garamond"/>
          <w:color w:val="000000" w:themeColor="text1"/>
        </w:rPr>
        <w:t>)</w:t>
      </w:r>
      <w:r w:rsidRPr="00FF45B2">
        <w:rPr>
          <w:rFonts w:ascii="Garamond" w:hAnsi="Garamond"/>
          <w:color w:val="000000" w:themeColor="text1"/>
        </w:rPr>
        <w:t xml:space="preserve"> </w:t>
      </w:r>
      <w:r w:rsidR="00243473">
        <w:rPr>
          <w:rFonts w:ascii="Garamond" w:hAnsi="Garamond"/>
          <w:color w:val="000000" w:themeColor="text1"/>
        </w:rPr>
        <w:t xml:space="preserve">Collectively these </w:t>
      </w:r>
      <w:r>
        <w:rPr>
          <w:rFonts w:ascii="Garamond" w:hAnsi="Garamond"/>
          <w:color w:val="000000" w:themeColor="text1"/>
        </w:rPr>
        <w:t>occupations</w:t>
      </w:r>
      <w:r w:rsidR="00243473">
        <w:rPr>
          <w:rFonts w:ascii="Garamond" w:hAnsi="Garamond"/>
          <w:color w:val="000000" w:themeColor="text1"/>
        </w:rPr>
        <w:t xml:space="preserve"> are</w:t>
      </w:r>
      <w:r w:rsidRPr="00FF45B2">
        <w:rPr>
          <w:rFonts w:ascii="Garamond" w:hAnsi="Garamond"/>
          <w:color w:val="000000" w:themeColor="text1"/>
          <w:szCs w:val="24"/>
        </w:rPr>
        <w:t xml:space="preserve"> projected to add </w:t>
      </w:r>
      <w:r>
        <w:rPr>
          <w:rFonts w:ascii="Garamond" w:hAnsi="Garamond"/>
          <w:color w:val="000000" w:themeColor="text1"/>
          <w:szCs w:val="24"/>
        </w:rPr>
        <w:t>28,270 jobs</w:t>
      </w:r>
      <w:r w:rsidRPr="00FF45B2">
        <w:rPr>
          <w:rFonts w:ascii="Garamond" w:hAnsi="Garamond"/>
          <w:color w:val="000000" w:themeColor="text1"/>
          <w:szCs w:val="24"/>
        </w:rPr>
        <w:t xml:space="preserve"> </w:t>
      </w:r>
      <w:r>
        <w:rPr>
          <w:rFonts w:ascii="Garamond" w:hAnsi="Garamond"/>
          <w:color w:val="000000" w:themeColor="text1"/>
          <w:szCs w:val="24"/>
        </w:rPr>
        <w:t>between 2012 and 2022 for an above average growth rate of 31.6%.</w:t>
      </w:r>
      <w:r w:rsidRPr="00FF45B2">
        <w:rPr>
          <w:rFonts w:ascii="Garamond" w:hAnsi="Garamond"/>
          <w:color w:val="000000" w:themeColor="text1"/>
          <w:szCs w:val="24"/>
        </w:rPr>
        <w:t xml:space="preserve"> </w:t>
      </w:r>
    </w:p>
    <w:p w:rsidR="00294274" w:rsidRPr="00FF45B2" w:rsidRDefault="00294274" w:rsidP="00294274">
      <w:pPr>
        <w:rPr>
          <w:rFonts w:ascii="Garamond" w:hAnsi="Garamond"/>
          <w:color w:val="FF0000"/>
        </w:rPr>
      </w:pPr>
    </w:p>
    <w:p w:rsidR="00294274" w:rsidRPr="00FF45B2" w:rsidRDefault="00294274" w:rsidP="00294274">
      <w:pPr>
        <w:rPr>
          <w:rFonts w:ascii="Garamond" w:hAnsi="Garamond"/>
          <w:color w:val="000000" w:themeColor="text1"/>
        </w:rPr>
      </w:pPr>
      <w:r>
        <w:rPr>
          <w:rFonts w:ascii="Garamond" w:hAnsi="Garamond"/>
          <w:b/>
          <w:color w:val="000000" w:themeColor="text1"/>
        </w:rPr>
        <w:t xml:space="preserve">Elementary </w:t>
      </w:r>
      <w:r w:rsidR="00243473">
        <w:rPr>
          <w:rFonts w:ascii="Garamond" w:hAnsi="Garamond"/>
          <w:b/>
          <w:color w:val="000000" w:themeColor="text1"/>
        </w:rPr>
        <w:t>School Teachers Ex</w:t>
      </w:r>
      <w:r w:rsidR="00D60114">
        <w:rPr>
          <w:rFonts w:ascii="Garamond" w:hAnsi="Garamond"/>
          <w:b/>
          <w:color w:val="000000" w:themeColor="text1"/>
        </w:rPr>
        <w:t>.</w:t>
      </w:r>
      <w:r w:rsidR="00243473">
        <w:rPr>
          <w:rFonts w:ascii="Garamond" w:hAnsi="Garamond"/>
          <w:b/>
          <w:color w:val="000000" w:themeColor="text1"/>
        </w:rPr>
        <w:t xml:space="preserve"> Special Education</w:t>
      </w:r>
      <w:r w:rsidRPr="00FF45B2">
        <w:rPr>
          <w:rFonts w:ascii="Garamond" w:hAnsi="Garamond"/>
          <w:b/>
          <w:color w:val="000000" w:themeColor="text1"/>
        </w:rPr>
        <w:t xml:space="preserve"> </w:t>
      </w:r>
      <w:r w:rsidRPr="00FF45B2">
        <w:rPr>
          <w:rFonts w:ascii="Garamond" w:hAnsi="Garamond"/>
          <w:color w:val="000000" w:themeColor="text1"/>
        </w:rPr>
        <w:t>are</w:t>
      </w:r>
      <w:r w:rsidR="00243473">
        <w:rPr>
          <w:rFonts w:ascii="Garamond" w:hAnsi="Garamond"/>
          <w:color w:val="000000" w:themeColor="text1"/>
        </w:rPr>
        <w:t xml:space="preserve"> the largest subset of </w:t>
      </w:r>
      <w:r w:rsidR="00243473" w:rsidRPr="00243473">
        <w:rPr>
          <w:rFonts w:ascii="Garamond" w:hAnsi="Garamond"/>
          <w:color w:val="000000" w:themeColor="text1"/>
        </w:rPr>
        <w:t>Preschool, Primary, Secondary, &amp; Special Education Teachers</w:t>
      </w:r>
      <w:r w:rsidR="00243473">
        <w:rPr>
          <w:rFonts w:ascii="Garamond" w:hAnsi="Garamond"/>
          <w:color w:val="000000" w:themeColor="text1"/>
        </w:rPr>
        <w:t xml:space="preserve">, comprising 36.3% of employment. </w:t>
      </w:r>
      <w:r w:rsidRPr="00FF45B2">
        <w:rPr>
          <w:rFonts w:ascii="Garamond" w:hAnsi="Garamond"/>
          <w:color w:val="000000" w:themeColor="text1"/>
        </w:rPr>
        <w:t xml:space="preserve"> </w:t>
      </w:r>
      <w:r w:rsidR="00243473">
        <w:rPr>
          <w:rFonts w:ascii="Garamond" w:hAnsi="Garamond"/>
          <w:color w:val="000000" w:themeColor="text1"/>
        </w:rPr>
        <w:t xml:space="preserve">This detailed occupation is </w:t>
      </w:r>
      <w:r w:rsidRPr="00FF45B2">
        <w:rPr>
          <w:rFonts w:ascii="Garamond" w:hAnsi="Garamond"/>
          <w:color w:val="000000" w:themeColor="text1"/>
        </w:rPr>
        <w:t xml:space="preserve">expected to </w:t>
      </w:r>
      <w:r w:rsidR="00243473">
        <w:rPr>
          <w:rFonts w:ascii="Garamond" w:hAnsi="Garamond"/>
          <w:color w:val="000000" w:themeColor="text1"/>
        </w:rPr>
        <w:t>grow</w:t>
      </w:r>
      <w:r w:rsidRPr="00FF45B2">
        <w:rPr>
          <w:rFonts w:ascii="Garamond" w:hAnsi="Garamond"/>
          <w:color w:val="000000" w:themeColor="text1"/>
        </w:rPr>
        <w:t xml:space="preserve"> by</w:t>
      </w:r>
      <w:r>
        <w:rPr>
          <w:rFonts w:ascii="Garamond" w:hAnsi="Garamond"/>
          <w:color w:val="000000" w:themeColor="text1"/>
        </w:rPr>
        <w:t xml:space="preserve"> </w:t>
      </w:r>
      <w:r w:rsidR="00243473">
        <w:rPr>
          <w:rFonts w:ascii="Garamond" w:hAnsi="Garamond"/>
          <w:color w:val="000000" w:themeColor="text1"/>
        </w:rPr>
        <w:t>11,650 jobs</w:t>
      </w:r>
      <w:r>
        <w:rPr>
          <w:rFonts w:ascii="Garamond" w:hAnsi="Garamond"/>
          <w:color w:val="000000" w:themeColor="text1"/>
        </w:rPr>
        <w:t xml:space="preserve"> </w:t>
      </w:r>
      <w:r w:rsidR="00243473">
        <w:rPr>
          <w:rFonts w:ascii="Garamond" w:hAnsi="Garamond"/>
          <w:color w:val="000000" w:themeColor="text1"/>
        </w:rPr>
        <w:t>between 2012 and</w:t>
      </w:r>
      <w:r w:rsidRPr="00FF45B2">
        <w:rPr>
          <w:rFonts w:ascii="Garamond" w:hAnsi="Garamond"/>
          <w:color w:val="000000" w:themeColor="text1"/>
        </w:rPr>
        <w:t xml:space="preserve"> 2022 </w:t>
      </w:r>
      <w:r w:rsidR="00243473">
        <w:rPr>
          <w:rFonts w:ascii="Garamond" w:hAnsi="Garamond"/>
          <w:color w:val="000000" w:themeColor="text1"/>
        </w:rPr>
        <w:t xml:space="preserve">for the second-highest growth rate among this group of occupations at 35.3%. </w:t>
      </w:r>
    </w:p>
    <w:p w:rsidR="00294274" w:rsidRPr="00FF45B2" w:rsidRDefault="00294274" w:rsidP="00294274">
      <w:pPr>
        <w:rPr>
          <w:rFonts w:ascii="Garamond" w:hAnsi="Garamond"/>
          <w:color w:val="000000" w:themeColor="text1"/>
        </w:rPr>
      </w:pPr>
    </w:p>
    <w:p w:rsidR="00294274" w:rsidRPr="00FF45B2" w:rsidRDefault="00D60114" w:rsidP="00294274">
      <w:pPr>
        <w:rPr>
          <w:rFonts w:ascii="Garamond" w:hAnsi="Garamond"/>
          <w:color w:val="000000" w:themeColor="text1"/>
        </w:rPr>
      </w:pPr>
      <w:r w:rsidRPr="00D60114">
        <w:rPr>
          <w:rFonts w:ascii="Garamond" w:hAnsi="Garamond"/>
          <w:b/>
          <w:color w:val="000000" w:themeColor="text1"/>
        </w:rPr>
        <w:t>Secondary School Teachers, Ex. Special &amp; Career/Technical Education</w:t>
      </w:r>
      <w:r w:rsidR="00294274" w:rsidRPr="00FF45B2">
        <w:rPr>
          <w:rFonts w:ascii="Garamond" w:hAnsi="Garamond"/>
          <w:b/>
          <w:color w:val="000000" w:themeColor="text1"/>
        </w:rPr>
        <w:t xml:space="preserve"> </w:t>
      </w:r>
      <w:r w:rsidR="00294274" w:rsidRPr="00FF45B2">
        <w:rPr>
          <w:rFonts w:ascii="Garamond" w:hAnsi="Garamond"/>
          <w:color w:val="000000" w:themeColor="text1"/>
        </w:rPr>
        <w:t xml:space="preserve">are </w:t>
      </w:r>
      <w:r>
        <w:rPr>
          <w:rFonts w:ascii="Garamond" w:hAnsi="Garamond"/>
          <w:color w:val="000000" w:themeColor="text1"/>
        </w:rPr>
        <w:t xml:space="preserve">the second-largest subset of </w:t>
      </w:r>
      <w:r w:rsidRPr="00D60114">
        <w:rPr>
          <w:rFonts w:ascii="Garamond" w:hAnsi="Garamond"/>
          <w:color w:val="000000" w:themeColor="text1"/>
        </w:rPr>
        <w:t>Preschool, Primary, Secondary, &amp; Special Education Teachers</w:t>
      </w:r>
      <w:r>
        <w:rPr>
          <w:rFonts w:ascii="Garamond" w:hAnsi="Garamond"/>
          <w:color w:val="000000" w:themeColor="text1"/>
        </w:rPr>
        <w:t xml:space="preserve"> accounting for one in four jobs in this group. Secondary School Teachers are expected to add 6,240 jobs</w:t>
      </w:r>
      <w:r w:rsidR="00294274">
        <w:rPr>
          <w:rFonts w:ascii="Garamond" w:hAnsi="Garamond"/>
          <w:color w:val="000000" w:themeColor="text1"/>
        </w:rPr>
        <w:t xml:space="preserve"> </w:t>
      </w:r>
      <w:r>
        <w:rPr>
          <w:rFonts w:ascii="Garamond" w:hAnsi="Garamond"/>
          <w:color w:val="000000" w:themeColor="text1"/>
        </w:rPr>
        <w:t>over the 10-year projection period for an above average growth rate of 27%.</w:t>
      </w:r>
      <w:r w:rsidR="00294274">
        <w:rPr>
          <w:rFonts w:ascii="Garamond" w:hAnsi="Garamond"/>
          <w:color w:val="000000" w:themeColor="text1"/>
        </w:rPr>
        <w:t xml:space="preserve"> </w:t>
      </w:r>
    </w:p>
    <w:p w:rsidR="00294274" w:rsidRPr="00FF45B2" w:rsidRDefault="00294274" w:rsidP="00294274">
      <w:pPr>
        <w:rPr>
          <w:rFonts w:ascii="Garamond" w:hAnsi="Garamond"/>
          <w:color w:val="000000" w:themeColor="text1"/>
        </w:rPr>
      </w:pPr>
    </w:p>
    <w:p w:rsidR="00294274" w:rsidRDefault="00D60114" w:rsidP="00294274">
      <w:pPr>
        <w:rPr>
          <w:rFonts w:ascii="Garamond" w:hAnsi="Garamond"/>
          <w:color w:val="000000" w:themeColor="text1"/>
        </w:rPr>
      </w:pPr>
      <w:r w:rsidRPr="00D60114">
        <w:rPr>
          <w:rFonts w:ascii="Garamond" w:hAnsi="Garamond"/>
          <w:b/>
          <w:color w:val="000000" w:themeColor="text1"/>
        </w:rPr>
        <w:t xml:space="preserve">Middle School Teachers, Ex. Special &amp; Career/Technical Education </w:t>
      </w:r>
      <w:r w:rsidR="00294274" w:rsidRPr="00FF45B2">
        <w:rPr>
          <w:rFonts w:ascii="Garamond" w:hAnsi="Garamond"/>
          <w:color w:val="000000" w:themeColor="text1"/>
        </w:rPr>
        <w:t xml:space="preserve">are </w:t>
      </w:r>
      <w:r w:rsidR="005D085B">
        <w:rPr>
          <w:rFonts w:ascii="Garamond" w:hAnsi="Garamond"/>
          <w:color w:val="000000" w:themeColor="text1"/>
        </w:rPr>
        <w:t xml:space="preserve">the third-largest occupation with 16,470 jobs or 18.1% of total employment among </w:t>
      </w:r>
      <w:r w:rsidR="005D085B" w:rsidRPr="005D085B">
        <w:rPr>
          <w:rFonts w:ascii="Garamond" w:hAnsi="Garamond"/>
          <w:color w:val="000000" w:themeColor="text1"/>
        </w:rPr>
        <w:t>Preschool, Primary, Secondary, &amp; Special Education Teachers</w:t>
      </w:r>
      <w:r w:rsidR="005D085B">
        <w:rPr>
          <w:rFonts w:ascii="Garamond" w:hAnsi="Garamond"/>
          <w:color w:val="000000" w:themeColor="text1"/>
        </w:rPr>
        <w:t>.  Middle School Teachers had the highest projected growth of 35.4% between 2012 and 2022.</w:t>
      </w:r>
    </w:p>
    <w:p w:rsidR="00294274" w:rsidRDefault="00294274" w:rsidP="00294274">
      <w:pPr>
        <w:rPr>
          <w:rFonts w:ascii="Garamond" w:hAnsi="Garamond"/>
          <w:color w:val="000000" w:themeColor="text1"/>
        </w:rPr>
      </w:pPr>
    </w:p>
    <w:p w:rsidR="00294274" w:rsidRDefault="005D085B" w:rsidP="002062DF">
      <w:pPr>
        <w:rPr>
          <w:rFonts w:ascii="Garamond" w:hAnsi="Garamond"/>
          <w:color w:val="000000" w:themeColor="text1"/>
        </w:rPr>
      </w:pPr>
      <w:r>
        <w:rPr>
          <w:rFonts w:ascii="Garamond" w:hAnsi="Garamond"/>
          <w:b/>
          <w:color w:val="000000" w:themeColor="text1"/>
        </w:rPr>
        <w:lastRenderedPageBreak/>
        <w:t xml:space="preserve">In 2012, there were 5,200 </w:t>
      </w:r>
      <w:r w:rsidRPr="005D085B">
        <w:rPr>
          <w:rFonts w:ascii="Garamond" w:hAnsi="Garamond"/>
          <w:b/>
          <w:color w:val="000000" w:themeColor="text1"/>
        </w:rPr>
        <w:t>Educational, Guidance, School, &amp; Vocational Counselors</w:t>
      </w:r>
      <w:r w:rsidRPr="00FF45B2">
        <w:rPr>
          <w:rFonts w:ascii="Garamond" w:hAnsi="Garamond"/>
          <w:b/>
          <w:color w:val="000000" w:themeColor="text1"/>
        </w:rPr>
        <w:t xml:space="preserve"> </w:t>
      </w:r>
      <w:r>
        <w:rPr>
          <w:rFonts w:ascii="Garamond" w:hAnsi="Garamond"/>
          <w:color w:val="000000" w:themeColor="text1"/>
        </w:rPr>
        <w:t>in the Gulf Coast region. This detailed occupation is expected to add a total of 1,290 jobs by 2022 for a slightly above average growth rate of 24.8%.</w:t>
      </w:r>
    </w:p>
    <w:p w:rsidR="00294274" w:rsidRDefault="00294274" w:rsidP="002062DF">
      <w:pPr>
        <w:rPr>
          <w:rFonts w:ascii="Garamond" w:hAnsi="Garamond"/>
          <w:color w:val="000000" w:themeColor="text1"/>
        </w:rPr>
      </w:pPr>
    </w:p>
    <w:p w:rsidR="00294274" w:rsidRDefault="00294274" w:rsidP="002062DF">
      <w:pPr>
        <w:rPr>
          <w:rFonts w:ascii="Garamond" w:hAnsi="Garamond"/>
          <w:color w:val="000000" w:themeColor="text1"/>
        </w:rPr>
      </w:pPr>
    </w:p>
    <w:p w:rsidR="00876414" w:rsidRDefault="00730DA2" w:rsidP="002062DF">
      <w:pPr>
        <w:rPr>
          <w:rFonts w:ascii="Garamond" w:hAnsi="Garamond"/>
          <w:color w:val="000000" w:themeColor="text1"/>
        </w:rPr>
      </w:pPr>
      <w:r>
        <w:rPr>
          <w:rFonts w:ascii="Garamond" w:hAnsi="Garamond"/>
          <w:noProof/>
          <w:color w:val="000000" w:themeColor="text1"/>
        </w:rPr>
        <w:drawing>
          <wp:anchor distT="0" distB="0" distL="114300" distR="114300" simplePos="0" relativeHeight="251660288" behindDoc="0" locked="0" layoutInCell="1" allowOverlap="1">
            <wp:simplePos x="0" y="0"/>
            <wp:positionH relativeFrom="column">
              <wp:posOffset>-893362</wp:posOffset>
            </wp:positionH>
            <wp:positionV relativeFrom="paragraph">
              <wp:posOffset>-34345</wp:posOffset>
            </wp:positionV>
            <wp:extent cx="7280247" cy="3331597"/>
            <wp:effectExtent l="19050" t="0" r="0" b="0"/>
            <wp:wrapNone/>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srcRect/>
                    <a:stretch>
                      <a:fillRect/>
                    </a:stretch>
                  </pic:blipFill>
                  <pic:spPr bwMode="auto">
                    <a:xfrm>
                      <a:off x="0" y="0"/>
                      <a:ext cx="7280247" cy="3331597"/>
                    </a:xfrm>
                    <a:prstGeom prst="rect">
                      <a:avLst/>
                    </a:prstGeom>
                    <a:noFill/>
                    <a:ln w="9525">
                      <a:noFill/>
                      <a:miter lim="800000"/>
                      <a:headEnd/>
                      <a:tailEnd/>
                    </a:ln>
                  </pic:spPr>
                </pic:pic>
              </a:graphicData>
            </a:graphic>
          </wp:anchor>
        </w:drawing>
      </w:r>
    </w:p>
    <w:p w:rsidR="00FE09DB" w:rsidRDefault="00FE09DB" w:rsidP="002062DF">
      <w:pPr>
        <w:rPr>
          <w:rFonts w:ascii="Garamond" w:hAnsi="Garamond"/>
          <w:color w:val="000000" w:themeColor="text1"/>
        </w:rPr>
      </w:pPr>
    </w:p>
    <w:p w:rsidR="00876414" w:rsidRDefault="00876414" w:rsidP="002062DF">
      <w:pPr>
        <w:rPr>
          <w:rFonts w:ascii="Garamond" w:hAnsi="Garamond"/>
          <w:color w:val="000000" w:themeColor="text1"/>
        </w:rPr>
      </w:pPr>
    </w:p>
    <w:p w:rsidR="00876414" w:rsidRDefault="00876414" w:rsidP="002062DF">
      <w:pPr>
        <w:rPr>
          <w:rFonts w:ascii="Garamond" w:hAnsi="Garamond"/>
          <w:color w:val="000000" w:themeColor="text1"/>
        </w:rPr>
      </w:pPr>
    </w:p>
    <w:p w:rsidR="00876414" w:rsidRDefault="00876414" w:rsidP="002062DF">
      <w:pPr>
        <w:rPr>
          <w:rFonts w:ascii="Garamond" w:hAnsi="Garamond"/>
          <w:color w:val="000000" w:themeColor="text1"/>
        </w:rPr>
      </w:pPr>
    </w:p>
    <w:p w:rsidR="00876414" w:rsidRDefault="00876414" w:rsidP="002062DF">
      <w:pPr>
        <w:rPr>
          <w:rFonts w:ascii="Garamond" w:hAnsi="Garamond"/>
          <w:color w:val="000000" w:themeColor="text1"/>
        </w:rPr>
      </w:pPr>
    </w:p>
    <w:p w:rsidR="00EE53CD" w:rsidRDefault="00EE53CD" w:rsidP="002062DF">
      <w:pPr>
        <w:rPr>
          <w:rFonts w:ascii="Garamond" w:hAnsi="Garamond"/>
          <w:color w:val="000000" w:themeColor="text1"/>
        </w:rPr>
      </w:pPr>
    </w:p>
    <w:p w:rsidR="00EE53CD" w:rsidRDefault="00EE53CD" w:rsidP="002062DF">
      <w:pPr>
        <w:rPr>
          <w:rFonts w:ascii="Garamond" w:hAnsi="Garamond"/>
          <w:color w:val="000000" w:themeColor="text1"/>
        </w:rPr>
      </w:pPr>
    </w:p>
    <w:p w:rsidR="00EE53CD" w:rsidRDefault="00EE53CD" w:rsidP="002062DF">
      <w:pPr>
        <w:rPr>
          <w:rFonts w:ascii="Garamond" w:hAnsi="Garamond"/>
          <w:color w:val="000000" w:themeColor="text1"/>
        </w:rPr>
      </w:pPr>
    </w:p>
    <w:p w:rsidR="00EE53CD" w:rsidRDefault="00EE53CD" w:rsidP="002062DF">
      <w:pPr>
        <w:rPr>
          <w:rFonts w:ascii="Garamond" w:hAnsi="Garamond"/>
          <w:color w:val="000000" w:themeColor="text1"/>
        </w:rPr>
      </w:pPr>
    </w:p>
    <w:p w:rsidR="00EE53CD" w:rsidRDefault="00EE53CD" w:rsidP="002062DF">
      <w:pPr>
        <w:rPr>
          <w:rFonts w:ascii="Garamond" w:hAnsi="Garamond"/>
          <w:color w:val="000000" w:themeColor="text1"/>
        </w:rPr>
      </w:pPr>
    </w:p>
    <w:p w:rsidR="00EE53CD" w:rsidRDefault="00EE53CD" w:rsidP="002062DF">
      <w:pPr>
        <w:rPr>
          <w:rFonts w:ascii="Garamond" w:hAnsi="Garamond"/>
          <w:color w:val="000000" w:themeColor="text1"/>
        </w:rPr>
      </w:pPr>
    </w:p>
    <w:p w:rsidR="00EE53CD" w:rsidRDefault="00EE53CD" w:rsidP="002062DF">
      <w:pPr>
        <w:rPr>
          <w:rFonts w:ascii="Garamond" w:hAnsi="Garamond"/>
          <w:color w:val="000000" w:themeColor="text1"/>
        </w:rPr>
      </w:pPr>
    </w:p>
    <w:p w:rsidR="00876414" w:rsidRDefault="00876414" w:rsidP="002062DF">
      <w:pPr>
        <w:rPr>
          <w:rFonts w:ascii="Garamond" w:hAnsi="Garamond"/>
          <w:color w:val="000000" w:themeColor="text1"/>
        </w:rPr>
      </w:pPr>
    </w:p>
    <w:p w:rsidR="00876414" w:rsidRDefault="00876414" w:rsidP="002062DF">
      <w:pPr>
        <w:rPr>
          <w:rFonts w:ascii="Garamond" w:hAnsi="Garamond"/>
          <w:color w:val="000000" w:themeColor="text1"/>
        </w:rPr>
      </w:pPr>
    </w:p>
    <w:p w:rsidR="00876414" w:rsidRDefault="00876414" w:rsidP="002062DF">
      <w:pPr>
        <w:rPr>
          <w:rFonts w:ascii="Garamond" w:hAnsi="Garamond"/>
          <w:color w:val="000000" w:themeColor="text1"/>
        </w:rPr>
      </w:pPr>
    </w:p>
    <w:p w:rsidR="00876414" w:rsidRDefault="00876414" w:rsidP="002062DF">
      <w:pPr>
        <w:rPr>
          <w:rFonts w:ascii="Garamond" w:hAnsi="Garamond"/>
          <w:color w:val="000000" w:themeColor="text1"/>
        </w:rPr>
      </w:pPr>
    </w:p>
    <w:p w:rsidR="00876414" w:rsidRDefault="00876414" w:rsidP="002062DF">
      <w:pPr>
        <w:rPr>
          <w:rFonts w:ascii="Garamond" w:hAnsi="Garamond"/>
          <w:color w:val="000000" w:themeColor="text1"/>
        </w:rPr>
      </w:pPr>
    </w:p>
    <w:p w:rsidR="000A11B1" w:rsidRDefault="00740E91" w:rsidP="00740E91">
      <w:pPr>
        <w:rPr>
          <w:rFonts w:ascii="Garamond" w:hAnsi="Garamond"/>
          <w:color w:val="000000" w:themeColor="text1"/>
        </w:rPr>
      </w:pPr>
      <w:r>
        <w:rPr>
          <w:rFonts w:ascii="Garamond" w:hAnsi="Garamond"/>
          <w:color w:val="000000" w:themeColor="text1"/>
        </w:rPr>
        <w:t xml:space="preserve">NOTE: </w:t>
      </w:r>
      <w:r w:rsidR="00944ED0">
        <w:rPr>
          <w:rFonts w:ascii="Garamond" w:hAnsi="Garamond"/>
          <w:color w:val="000000" w:themeColor="text1"/>
        </w:rPr>
        <w:t xml:space="preserve">All </w:t>
      </w:r>
      <w:r w:rsidR="00944ED0" w:rsidRPr="00740E91">
        <w:rPr>
          <w:rFonts w:ascii="Garamond" w:hAnsi="Garamond"/>
          <w:b/>
          <w:color w:val="000000" w:themeColor="text1"/>
        </w:rPr>
        <w:t>Preschool, Primary, Secondary, &amp; Special Education</w:t>
      </w:r>
      <w:r w:rsidR="002062DF" w:rsidRPr="00740E91">
        <w:rPr>
          <w:rFonts w:ascii="Garamond" w:hAnsi="Garamond"/>
          <w:b/>
          <w:color w:val="000000" w:themeColor="text1"/>
        </w:rPr>
        <w:t xml:space="preserve"> </w:t>
      </w:r>
      <w:r w:rsidR="00944ED0" w:rsidRPr="00740E91">
        <w:rPr>
          <w:rFonts w:ascii="Garamond" w:hAnsi="Garamond"/>
          <w:b/>
          <w:color w:val="000000" w:themeColor="text1"/>
        </w:rPr>
        <w:t>School Teachers</w:t>
      </w:r>
      <w:r>
        <w:rPr>
          <w:rFonts w:ascii="Garamond" w:hAnsi="Garamond"/>
          <w:color w:val="000000" w:themeColor="text1"/>
        </w:rPr>
        <w:t xml:space="preserve"> and </w:t>
      </w:r>
    </w:p>
    <w:p w:rsidR="000A11B1" w:rsidRDefault="000A11B1" w:rsidP="00740E91">
      <w:pPr>
        <w:rPr>
          <w:rFonts w:ascii="Garamond" w:hAnsi="Garamond"/>
          <w:color w:val="000000" w:themeColor="text1"/>
        </w:rPr>
      </w:pPr>
    </w:p>
    <w:p w:rsidR="00876414" w:rsidRPr="005D085B" w:rsidRDefault="00740E91" w:rsidP="00740E91">
      <w:pPr>
        <w:rPr>
          <w:rFonts w:ascii="Garamond" w:hAnsi="Garamond"/>
          <w:color w:val="000000" w:themeColor="text1"/>
        </w:rPr>
      </w:pPr>
      <w:r w:rsidRPr="00740E91">
        <w:rPr>
          <w:rFonts w:ascii="Garamond" w:hAnsi="Garamond"/>
          <w:b/>
          <w:color w:val="000000" w:themeColor="text1"/>
        </w:rPr>
        <w:t>Educational, Guidance, School, &amp; Vocational Counselors</w:t>
      </w:r>
      <w:r w:rsidR="00944ED0">
        <w:rPr>
          <w:rFonts w:ascii="Garamond" w:hAnsi="Garamond"/>
          <w:color w:val="000000" w:themeColor="text1"/>
        </w:rPr>
        <w:t xml:space="preserve"> are </w:t>
      </w:r>
      <w:r w:rsidR="002062DF" w:rsidRPr="00FF45B2">
        <w:rPr>
          <w:rFonts w:ascii="Garamond" w:hAnsi="Garamond"/>
          <w:color w:val="000000" w:themeColor="text1"/>
        </w:rPr>
        <w:t>currently on the Gulf Coast Workforce Board’s list of targeted high</w:t>
      </w:r>
      <w:r>
        <w:rPr>
          <w:rFonts w:ascii="Garamond" w:hAnsi="Garamond"/>
          <w:color w:val="000000" w:themeColor="text1"/>
        </w:rPr>
        <w:t xml:space="preserve">-skill high-growth occupations. Occupations under </w:t>
      </w:r>
      <w:r w:rsidRPr="00740E91">
        <w:rPr>
          <w:rFonts w:ascii="Garamond" w:hAnsi="Garamond"/>
          <w:b/>
          <w:color w:val="000000" w:themeColor="text1"/>
        </w:rPr>
        <w:t>Other Teachers &amp; Instructors</w:t>
      </w:r>
      <w:r>
        <w:rPr>
          <w:rFonts w:ascii="Garamond" w:hAnsi="Garamond"/>
          <w:color w:val="000000" w:themeColor="text1"/>
        </w:rPr>
        <w:t xml:space="preserve"> are </w:t>
      </w:r>
      <w:r w:rsidRPr="007B2AAD">
        <w:rPr>
          <w:rFonts w:ascii="Garamond" w:hAnsi="Garamond"/>
          <w:color w:val="000000" w:themeColor="text1"/>
        </w:rPr>
        <w:t>excluded</w:t>
      </w:r>
      <w:r>
        <w:rPr>
          <w:rFonts w:ascii="Garamond" w:hAnsi="Garamond"/>
          <w:color w:val="000000" w:themeColor="text1"/>
        </w:rPr>
        <w:t>.</w:t>
      </w:r>
    </w:p>
    <w:p w:rsidR="00876414" w:rsidRDefault="00876414" w:rsidP="00740E91">
      <w:pPr>
        <w:rPr>
          <w:noProof/>
          <w:szCs w:val="24"/>
        </w:rPr>
      </w:pPr>
    </w:p>
    <w:p w:rsidR="00C47716" w:rsidRDefault="000A11B1" w:rsidP="005D085B">
      <w:pPr>
        <w:rPr>
          <w:rFonts w:ascii="Garamond" w:hAnsi="Garamond"/>
          <w:b/>
          <w:color w:val="000000" w:themeColor="text1"/>
          <w:szCs w:val="24"/>
          <w:u w:val="single"/>
        </w:rPr>
      </w:pPr>
      <w:r w:rsidRPr="000A11B1">
        <w:rPr>
          <w:noProof/>
          <w:szCs w:val="24"/>
        </w:rPr>
        <w:lastRenderedPageBreak/>
        <w:drawing>
          <wp:inline distT="0" distB="0" distL="0" distR="0">
            <wp:extent cx="5486400" cy="3779467"/>
            <wp:effectExtent l="19050" t="0" r="0" b="0"/>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srcRect/>
                    <a:stretch>
                      <a:fillRect/>
                    </a:stretch>
                  </pic:blipFill>
                  <pic:spPr bwMode="auto">
                    <a:xfrm>
                      <a:off x="0" y="0"/>
                      <a:ext cx="5486400" cy="3779467"/>
                    </a:xfrm>
                    <a:prstGeom prst="rect">
                      <a:avLst/>
                    </a:prstGeom>
                    <a:noFill/>
                    <a:ln w="9525">
                      <a:noFill/>
                      <a:miter lim="800000"/>
                      <a:headEnd/>
                      <a:tailEnd/>
                    </a:ln>
                  </pic:spPr>
                </pic:pic>
              </a:graphicData>
            </a:graphic>
          </wp:inline>
        </w:drawing>
      </w:r>
    </w:p>
    <w:p w:rsidR="00C47716" w:rsidRDefault="00C47716" w:rsidP="005D085B">
      <w:pPr>
        <w:rPr>
          <w:rFonts w:ascii="Garamond" w:hAnsi="Garamond"/>
          <w:b/>
          <w:color w:val="000000" w:themeColor="text1"/>
          <w:szCs w:val="24"/>
          <w:u w:val="single"/>
        </w:rPr>
      </w:pPr>
    </w:p>
    <w:p w:rsidR="00C47716" w:rsidRDefault="00C47716" w:rsidP="005D085B">
      <w:pPr>
        <w:rPr>
          <w:rFonts w:ascii="Garamond" w:hAnsi="Garamond"/>
          <w:b/>
          <w:color w:val="000000" w:themeColor="text1"/>
          <w:szCs w:val="24"/>
          <w:u w:val="single"/>
        </w:rPr>
      </w:pPr>
    </w:p>
    <w:p w:rsidR="005D085B" w:rsidRPr="00874DE2" w:rsidRDefault="005D085B" w:rsidP="005D085B">
      <w:pPr>
        <w:rPr>
          <w:rFonts w:ascii="Garamond" w:hAnsi="Garamond"/>
          <w:b/>
          <w:color w:val="000000" w:themeColor="text1"/>
          <w:szCs w:val="24"/>
          <w:u w:val="single"/>
        </w:rPr>
      </w:pPr>
      <w:r w:rsidRPr="00874DE2">
        <w:rPr>
          <w:rFonts w:ascii="Garamond" w:hAnsi="Garamond"/>
          <w:b/>
          <w:color w:val="000000" w:themeColor="text1"/>
          <w:szCs w:val="24"/>
          <w:u w:val="single"/>
        </w:rPr>
        <w:t xml:space="preserve">Projected Growth </w:t>
      </w:r>
      <w:r>
        <w:rPr>
          <w:rFonts w:ascii="Garamond" w:hAnsi="Garamond"/>
          <w:b/>
          <w:color w:val="000000" w:themeColor="text1"/>
          <w:szCs w:val="24"/>
          <w:u w:val="single"/>
        </w:rPr>
        <w:t xml:space="preserve">in </w:t>
      </w:r>
      <w:r w:rsidR="00EE1838">
        <w:rPr>
          <w:rFonts w:ascii="Garamond" w:hAnsi="Garamond"/>
          <w:b/>
          <w:color w:val="000000" w:themeColor="text1"/>
          <w:szCs w:val="24"/>
          <w:u w:val="single"/>
        </w:rPr>
        <w:t>Postsecondary Teacher</w:t>
      </w:r>
      <w:r>
        <w:rPr>
          <w:rFonts w:ascii="Garamond" w:hAnsi="Garamond"/>
          <w:b/>
          <w:color w:val="000000" w:themeColor="text1"/>
          <w:szCs w:val="24"/>
          <w:u w:val="single"/>
        </w:rPr>
        <w:t xml:space="preserve"> Occupations</w:t>
      </w:r>
    </w:p>
    <w:p w:rsidR="005D085B" w:rsidRPr="00FF45B2" w:rsidRDefault="005D085B" w:rsidP="005D085B">
      <w:pPr>
        <w:rPr>
          <w:rFonts w:ascii="Garamond" w:hAnsi="Garamond"/>
          <w:color w:val="FF0000"/>
          <w:szCs w:val="24"/>
        </w:rPr>
      </w:pPr>
    </w:p>
    <w:p w:rsidR="005D085B" w:rsidRDefault="005D085B" w:rsidP="005D085B">
      <w:pPr>
        <w:rPr>
          <w:rFonts w:ascii="Garamond" w:hAnsi="Garamond"/>
          <w:color w:val="000000" w:themeColor="text1"/>
          <w:szCs w:val="24"/>
        </w:rPr>
      </w:pPr>
    </w:p>
    <w:p w:rsidR="005D085B" w:rsidRDefault="005D085B" w:rsidP="005D085B">
      <w:pPr>
        <w:rPr>
          <w:noProof/>
          <w:szCs w:val="24"/>
        </w:rPr>
      </w:pPr>
      <w:r>
        <w:rPr>
          <w:rFonts w:ascii="Garamond" w:hAnsi="Garamond"/>
          <w:color w:val="000000" w:themeColor="text1"/>
        </w:rPr>
        <w:t>As of 2012, there were</w:t>
      </w:r>
      <w:r w:rsidRPr="00FF45B2">
        <w:rPr>
          <w:rFonts w:ascii="Garamond" w:hAnsi="Garamond"/>
          <w:color w:val="000000" w:themeColor="text1"/>
        </w:rPr>
        <w:t xml:space="preserve"> </w:t>
      </w:r>
      <w:r w:rsidR="00EE1838">
        <w:rPr>
          <w:rFonts w:ascii="Garamond" w:hAnsi="Garamond"/>
          <w:color w:val="000000" w:themeColor="text1"/>
        </w:rPr>
        <w:t>30,750</w:t>
      </w:r>
      <w:r w:rsidRPr="00FF45B2">
        <w:rPr>
          <w:rFonts w:ascii="Garamond" w:hAnsi="Garamond"/>
          <w:color w:val="000000" w:themeColor="text1"/>
        </w:rPr>
        <w:t xml:space="preserve"> </w:t>
      </w:r>
      <w:r w:rsidR="00EE1838">
        <w:rPr>
          <w:rFonts w:ascii="Garamond" w:hAnsi="Garamond"/>
          <w:b/>
          <w:color w:val="000000" w:themeColor="text1"/>
        </w:rPr>
        <w:t>Postsecondary</w:t>
      </w:r>
      <w:r w:rsidRPr="00294274">
        <w:rPr>
          <w:rFonts w:ascii="Garamond" w:hAnsi="Garamond"/>
          <w:b/>
          <w:color w:val="000000" w:themeColor="text1"/>
        </w:rPr>
        <w:t xml:space="preserve"> Teachers</w:t>
      </w:r>
      <w:r>
        <w:rPr>
          <w:rFonts w:ascii="Garamond" w:hAnsi="Garamond"/>
          <w:color w:val="000000" w:themeColor="text1"/>
        </w:rPr>
        <w:t xml:space="preserve"> in the Gulf Coast region</w:t>
      </w:r>
      <w:r w:rsidRPr="00FF45B2">
        <w:rPr>
          <w:rFonts w:ascii="Garamond" w:hAnsi="Garamond"/>
          <w:color w:val="000000" w:themeColor="text1"/>
        </w:rPr>
        <w:t xml:space="preserve"> according to estimates produced by</w:t>
      </w:r>
      <w:r>
        <w:rPr>
          <w:rFonts w:ascii="Garamond" w:hAnsi="Garamond"/>
          <w:color w:val="000000" w:themeColor="text1"/>
        </w:rPr>
        <w:t xml:space="preserve"> the Texas Workforce Commission. (See Table </w:t>
      </w:r>
      <w:r w:rsidR="00EE1838">
        <w:rPr>
          <w:rFonts w:ascii="Garamond" w:hAnsi="Garamond"/>
          <w:color w:val="000000" w:themeColor="text1"/>
        </w:rPr>
        <w:t>3</w:t>
      </w:r>
      <w:r w:rsidRPr="00FF45B2">
        <w:rPr>
          <w:rFonts w:ascii="Garamond" w:hAnsi="Garamond"/>
          <w:color w:val="000000" w:themeColor="text1"/>
        </w:rPr>
        <w:t>.</w:t>
      </w:r>
      <w:r w:rsidR="0071023F">
        <w:rPr>
          <w:rFonts w:ascii="Garamond" w:hAnsi="Garamond"/>
          <w:color w:val="000000" w:themeColor="text1"/>
        </w:rPr>
        <w:t xml:space="preserve"> and Cha</w:t>
      </w:r>
      <w:r w:rsidR="000A11B1">
        <w:rPr>
          <w:rFonts w:ascii="Garamond" w:hAnsi="Garamond"/>
          <w:color w:val="000000" w:themeColor="text1"/>
        </w:rPr>
        <w:t>rt 11</w:t>
      </w:r>
      <w:r w:rsidR="0071023F">
        <w:rPr>
          <w:rFonts w:ascii="Garamond" w:hAnsi="Garamond"/>
          <w:color w:val="000000" w:themeColor="text1"/>
        </w:rPr>
        <w:t>.</w:t>
      </w:r>
      <w:r>
        <w:rPr>
          <w:rFonts w:ascii="Garamond" w:hAnsi="Garamond"/>
          <w:color w:val="000000" w:themeColor="text1"/>
        </w:rPr>
        <w:t>)</w:t>
      </w:r>
      <w:r w:rsidRPr="00FF45B2">
        <w:rPr>
          <w:rFonts w:ascii="Garamond" w:hAnsi="Garamond"/>
          <w:color w:val="000000" w:themeColor="text1"/>
        </w:rPr>
        <w:t xml:space="preserve"> </w:t>
      </w:r>
      <w:r>
        <w:rPr>
          <w:rFonts w:ascii="Garamond" w:hAnsi="Garamond"/>
          <w:color w:val="000000" w:themeColor="text1"/>
        </w:rPr>
        <w:t>Collectively these occupations are</w:t>
      </w:r>
      <w:r w:rsidRPr="00FF45B2">
        <w:rPr>
          <w:rFonts w:ascii="Garamond" w:hAnsi="Garamond"/>
          <w:color w:val="000000" w:themeColor="text1"/>
          <w:szCs w:val="24"/>
        </w:rPr>
        <w:t xml:space="preserve"> projected to add </w:t>
      </w:r>
      <w:r w:rsidR="00EE1838">
        <w:rPr>
          <w:rFonts w:ascii="Garamond" w:hAnsi="Garamond"/>
          <w:color w:val="000000" w:themeColor="text1"/>
          <w:szCs w:val="24"/>
        </w:rPr>
        <w:t>7,250</w:t>
      </w:r>
      <w:r>
        <w:rPr>
          <w:rFonts w:ascii="Garamond" w:hAnsi="Garamond"/>
          <w:color w:val="000000" w:themeColor="text1"/>
          <w:szCs w:val="24"/>
        </w:rPr>
        <w:t xml:space="preserve"> jobs</w:t>
      </w:r>
      <w:r w:rsidRPr="00FF45B2">
        <w:rPr>
          <w:rFonts w:ascii="Garamond" w:hAnsi="Garamond"/>
          <w:color w:val="000000" w:themeColor="text1"/>
          <w:szCs w:val="24"/>
        </w:rPr>
        <w:t xml:space="preserve"> </w:t>
      </w:r>
      <w:r>
        <w:rPr>
          <w:rFonts w:ascii="Garamond" w:hAnsi="Garamond"/>
          <w:color w:val="000000" w:themeColor="text1"/>
          <w:szCs w:val="24"/>
        </w:rPr>
        <w:t xml:space="preserve">between 2012 and 2022 for </w:t>
      </w:r>
      <w:r w:rsidR="00EE1838">
        <w:rPr>
          <w:rFonts w:ascii="Garamond" w:hAnsi="Garamond"/>
          <w:color w:val="000000" w:themeColor="text1"/>
          <w:szCs w:val="24"/>
        </w:rPr>
        <w:t>a slightly below</w:t>
      </w:r>
      <w:r>
        <w:rPr>
          <w:rFonts w:ascii="Garamond" w:hAnsi="Garamond"/>
          <w:color w:val="000000" w:themeColor="text1"/>
          <w:szCs w:val="24"/>
        </w:rPr>
        <w:t xml:space="preserve"> average growth rate of </w:t>
      </w:r>
      <w:r w:rsidR="00EE1838">
        <w:rPr>
          <w:rFonts w:ascii="Garamond" w:hAnsi="Garamond"/>
          <w:color w:val="000000" w:themeColor="text1"/>
          <w:szCs w:val="24"/>
        </w:rPr>
        <w:t>23</w:t>
      </w:r>
      <w:r>
        <w:rPr>
          <w:rFonts w:ascii="Garamond" w:hAnsi="Garamond"/>
          <w:color w:val="000000" w:themeColor="text1"/>
          <w:szCs w:val="24"/>
        </w:rPr>
        <w:t>.6%.</w:t>
      </w:r>
    </w:p>
    <w:p w:rsidR="005D085B" w:rsidRDefault="005D085B" w:rsidP="00740E91">
      <w:pPr>
        <w:rPr>
          <w:noProof/>
          <w:szCs w:val="24"/>
        </w:rPr>
      </w:pPr>
    </w:p>
    <w:p w:rsidR="005D085B" w:rsidRPr="00EE1838" w:rsidRDefault="00EE1838" w:rsidP="00740E91">
      <w:pPr>
        <w:rPr>
          <w:rFonts w:ascii="Garamond" w:hAnsi="Garamond"/>
          <w:noProof/>
          <w:szCs w:val="24"/>
        </w:rPr>
      </w:pPr>
      <w:r w:rsidRPr="00EE1838">
        <w:rPr>
          <w:rFonts w:ascii="Garamond" w:hAnsi="Garamond"/>
          <w:b/>
          <w:noProof/>
          <w:szCs w:val="24"/>
        </w:rPr>
        <w:t>Health Specialties Teachers</w:t>
      </w:r>
      <w:r>
        <w:rPr>
          <w:rFonts w:ascii="Garamond" w:hAnsi="Garamond"/>
          <w:noProof/>
          <w:szCs w:val="24"/>
        </w:rPr>
        <w:t xml:space="preserve"> </w:t>
      </w:r>
      <w:r w:rsidR="004F44C9">
        <w:rPr>
          <w:rFonts w:ascii="Garamond" w:hAnsi="Garamond"/>
          <w:noProof/>
          <w:szCs w:val="24"/>
        </w:rPr>
        <w:t>are</w:t>
      </w:r>
      <w:r>
        <w:rPr>
          <w:rFonts w:ascii="Garamond" w:hAnsi="Garamond"/>
          <w:noProof/>
          <w:szCs w:val="24"/>
        </w:rPr>
        <w:t xml:space="preserve"> the largest subset of Postsecondary Teachers comprising 16.6% of employment in this occupational group. Over the 10-year projection period Health Specialties Teachers are expected to</w:t>
      </w:r>
      <w:r w:rsidR="004F44C9">
        <w:rPr>
          <w:rFonts w:ascii="Garamond" w:hAnsi="Garamond"/>
          <w:noProof/>
          <w:szCs w:val="24"/>
        </w:rPr>
        <w:t xml:space="preserve"> add</w:t>
      </w:r>
      <w:r>
        <w:rPr>
          <w:rFonts w:ascii="Garamond" w:hAnsi="Garamond"/>
          <w:noProof/>
          <w:szCs w:val="24"/>
        </w:rPr>
        <w:t xml:space="preserve"> 2,100 jobs for a growth rate that is 75% higher than the average of all occupations at 23.8%.</w:t>
      </w:r>
    </w:p>
    <w:p w:rsidR="00294274" w:rsidRDefault="00294274" w:rsidP="00740E91">
      <w:pPr>
        <w:rPr>
          <w:noProof/>
          <w:szCs w:val="24"/>
        </w:rPr>
      </w:pPr>
    </w:p>
    <w:p w:rsidR="00876414" w:rsidRDefault="00876414" w:rsidP="00740E91">
      <w:pPr>
        <w:rPr>
          <w:noProof/>
          <w:szCs w:val="24"/>
        </w:rPr>
      </w:pPr>
    </w:p>
    <w:p w:rsidR="00876414" w:rsidRDefault="00876414" w:rsidP="00740E91">
      <w:pPr>
        <w:rPr>
          <w:noProof/>
          <w:szCs w:val="24"/>
        </w:rPr>
      </w:pPr>
    </w:p>
    <w:p w:rsidR="00876414" w:rsidRDefault="00876414" w:rsidP="00740E91">
      <w:pPr>
        <w:rPr>
          <w:noProof/>
          <w:szCs w:val="24"/>
        </w:rPr>
      </w:pPr>
    </w:p>
    <w:p w:rsidR="00876414" w:rsidRDefault="00876414" w:rsidP="00740E91">
      <w:pPr>
        <w:rPr>
          <w:noProof/>
          <w:szCs w:val="24"/>
        </w:rPr>
      </w:pPr>
    </w:p>
    <w:p w:rsidR="00876414" w:rsidRDefault="00876414" w:rsidP="00740E91">
      <w:pPr>
        <w:rPr>
          <w:noProof/>
          <w:szCs w:val="24"/>
        </w:rPr>
      </w:pPr>
    </w:p>
    <w:p w:rsidR="00876414" w:rsidRDefault="00876414" w:rsidP="00740E91">
      <w:pPr>
        <w:rPr>
          <w:noProof/>
          <w:szCs w:val="24"/>
        </w:rPr>
      </w:pPr>
    </w:p>
    <w:p w:rsidR="00876414" w:rsidRDefault="00876414" w:rsidP="00740E91">
      <w:pPr>
        <w:rPr>
          <w:noProof/>
          <w:szCs w:val="24"/>
        </w:rPr>
      </w:pPr>
    </w:p>
    <w:p w:rsidR="00876414" w:rsidRDefault="00876414" w:rsidP="00740E91">
      <w:pPr>
        <w:rPr>
          <w:noProof/>
          <w:szCs w:val="24"/>
        </w:rPr>
      </w:pPr>
    </w:p>
    <w:p w:rsidR="00876414" w:rsidRDefault="00876414" w:rsidP="00740E91">
      <w:pPr>
        <w:rPr>
          <w:noProof/>
          <w:szCs w:val="24"/>
        </w:rPr>
      </w:pPr>
    </w:p>
    <w:p w:rsidR="00876414" w:rsidRDefault="00876414" w:rsidP="00740E91">
      <w:pPr>
        <w:rPr>
          <w:noProof/>
          <w:szCs w:val="24"/>
        </w:rPr>
      </w:pPr>
    </w:p>
    <w:p w:rsidR="00876414" w:rsidRDefault="00C47716" w:rsidP="00740E91">
      <w:pPr>
        <w:rPr>
          <w:noProof/>
          <w:szCs w:val="24"/>
        </w:rPr>
      </w:pPr>
      <w:r>
        <w:rPr>
          <w:noProof/>
          <w:szCs w:val="24"/>
        </w:rPr>
        <w:lastRenderedPageBreak/>
        <w:drawing>
          <wp:anchor distT="0" distB="0" distL="114300" distR="114300" simplePos="0" relativeHeight="251662336" behindDoc="0" locked="0" layoutInCell="1" allowOverlap="1">
            <wp:simplePos x="0" y="0"/>
            <wp:positionH relativeFrom="column">
              <wp:posOffset>-889864</wp:posOffset>
            </wp:positionH>
            <wp:positionV relativeFrom="paragraph">
              <wp:posOffset>-236627</wp:posOffset>
            </wp:positionV>
            <wp:extent cx="7266890" cy="5515661"/>
            <wp:effectExtent l="19050" t="0" r="0" b="0"/>
            <wp:wrapNone/>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srcRect/>
                    <a:stretch>
                      <a:fillRect/>
                    </a:stretch>
                  </pic:blipFill>
                  <pic:spPr bwMode="auto">
                    <a:xfrm>
                      <a:off x="0" y="0"/>
                      <a:ext cx="7266890" cy="5515661"/>
                    </a:xfrm>
                    <a:prstGeom prst="rect">
                      <a:avLst/>
                    </a:prstGeom>
                    <a:noFill/>
                    <a:ln w="9525">
                      <a:noFill/>
                      <a:miter lim="800000"/>
                      <a:headEnd/>
                      <a:tailEnd/>
                    </a:ln>
                  </pic:spPr>
                </pic:pic>
              </a:graphicData>
            </a:graphic>
          </wp:anchor>
        </w:drawing>
      </w:r>
    </w:p>
    <w:p w:rsidR="00876414" w:rsidRDefault="00876414" w:rsidP="00740E91">
      <w:pPr>
        <w:rPr>
          <w:noProof/>
          <w:szCs w:val="24"/>
        </w:rPr>
      </w:pPr>
    </w:p>
    <w:p w:rsidR="00876414" w:rsidRDefault="00876414" w:rsidP="00740E91">
      <w:pPr>
        <w:rPr>
          <w:noProof/>
          <w:szCs w:val="24"/>
        </w:rPr>
      </w:pPr>
    </w:p>
    <w:p w:rsidR="00876414" w:rsidRDefault="00876414" w:rsidP="00740E91">
      <w:pPr>
        <w:rPr>
          <w:noProof/>
          <w:szCs w:val="24"/>
        </w:rPr>
      </w:pPr>
    </w:p>
    <w:p w:rsidR="00876414" w:rsidRDefault="00876414" w:rsidP="00740E91">
      <w:pPr>
        <w:rPr>
          <w:noProof/>
          <w:szCs w:val="24"/>
        </w:rPr>
      </w:pPr>
    </w:p>
    <w:p w:rsidR="00876414" w:rsidRDefault="00876414" w:rsidP="00740E91">
      <w:pPr>
        <w:rPr>
          <w:noProof/>
          <w:szCs w:val="24"/>
        </w:rPr>
      </w:pPr>
    </w:p>
    <w:p w:rsidR="00876414" w:rsidRDefault="00876414" w:rsidP="00740E91">
      <w:pPr>
        <w:rPr>
          <w:noProof/>
          <w:szCs w:val="24"/>
        </w:rPr>
      </w:pPr>
    </w:p>
    <w:p w:rsidR="00876414" w:rsidRDefault="00876414" w:rsidP="00740E91">
      <w:pPr>
        <w:rPr>
          <w:noProof/>
          <w:szCs w:val="24"/>
        </w:rPr>
      </w:pPr>
    </w:p>
    <w:p w:rsidR="00876414" w:rsidRDefault="00876414" w:rsidP="00740E91">
      <w:pPr>
        <w:rPr>
          <w:noProof/>
          <w:szCs w:val="24"/>
        </w:rPr>
      </w:pPr>
    </w:p>
    <w:p w:rsidR="00876414" w:rsidRDefault="00876414" w:rsidP="00740E91">
      <w:pPr>
        <w:rPr>
          <w:noProof/>
          <w:szCs w:val="24"/>
        </w:rPr>
      </w:pPr>
    </w:p>
    <w:p w:rsidR="00876414" w:rsidRDefault="00876414" w:rsidP="00740E91">
      <w:pPr>
        <w:rPr>
          <w:noProof/>
          <w:szCs w:val="24"/>
        </w:rPr>
      </w:pPr>
    </w:p>
    <w:p w:rsidR="00876414" w:rsidRDefault="00876414" w:rsidP="00740E91">
      <w:pPr>
        <w:rPr>
          <w:noProof/>
          <w:szCs w:val="24"/>
        </w:rPr>
      </w:pPr>
    </w:p>
    <w:p w:rsidR="00876414" w:rsidRDefault="00876414" w:rsidP="00740E91">
      <w:pPr>
        <w:rPr>
          <w:noProof/>
          <w:szCs w:val="24"/>
        </w:rPr>
      </w:pPr>
    </w:p>
    <w:p w:rsidR="00876414" w:rsidRDefault="00876414" w:rsidP="00740E91">
      <w:pPr>
        <w:rPr>
          <w:noProof/>
          <w:szCs w:val="24"/>
        </w:rPr>
      </w:pPr>
    </w:p>
    <w:p w:rsidR="00876414" w:rsidRDefault="00876414" w:rsidP="00740E91">
      <w:pPr>
        <w:rPr>
          <w:noProof/>
          <w:szCs w:val="24"/>
        </w:rPr>
      </w:pPr>
    </w:p>
    <w:p w:rsidR="00876414" w:rsidRDefault="00876414" w:rsidP="00740E91">
      <w:pPr>
        <w:rPr>
          <w:noProof/>
          <w:szCs w:val="24"/>
        </w:rPr>
      </w:pPr>
    </w:p>
    <w:p w:rsidR="00876414" w:rsidRDefault="00876414" w:rsidP="00740E91">
      <w:pPr>
        <w:rPr>
          <w:noProof/>
          <w:szCs w:val="24"/>
        </w:rPr>
      </w:pPr>
    </w:p>
    <w:p w:rsidR="00876414" w:rsidRDefault="00876414" w:rsidP="00740E91">
      <w:pPr>
        <w:rPr>
          <w:noProof/>
          <w:szCs w:val="24"/>
        </w:rPr>
      </w:pPr>
    </w:p>
    <w:p w:rsidR="00876414" w:rsidRDefault="00876414" w:rsidP="00740E91">
      <w:pPr>
        <w:rPr>
          <w:noProof/>
          <w:szCs w:val="24"/>
        </w:rPr>
      </w:pPr>
    </w:p>
    <w:p w:rsidR="00876414" w:rsidRDefault="00876414" w:rsidP="00740E91">
      <w:pPr>
        <w:rPr>
          <w:noProof/>
          <w:szCs w:val="24"/>
        </w:rPr>
      </w:pPr>
    </w:p>
    <w:p w:rsidR="00876414" w:rsidRDefault="00876414" w:rsidP="00740E91">
      <w:pPr>
        <w:rPr>
          <w:noProof/>
          <w:szCs w:val="24"/>
        </w:rPr>
      </w:pPr>
    </w:p>
    <w:p w:rsidR="00876414" w:rsidRDefault="00876414" w:rsidP="00740E91">
      <w:pPr>
        <w:rPr>
          <w:noProof/>
          <w:szCs w:val="24"/>
        </w:rPr>
      </w:pPr>
    </w:p>
    <w:p w:rsidR="000A11B1" w:rsidRDefault="000A11B1" w:rsidP="00740E91">
      <w:pPr>
        <w:rPr>
          <w:noProof/>
          <w:szCs w:val="24"/>
        </w:rPr>
      </w:pPr>
    </w:p>
    <w:p w:rsidR="000A11B1" w:rsidRDefault="000A11B1" w:rsidP="00740E91">
      <w:pPr>
        <w:rPr>
          <w:noProof/>
          <w:szCs w:val="24"/>
        </w:rPr>
      </w:pPr>
    </w:p>
    <w:p w:rsidR="000A11B1" w:rsidRDefault="000A11B1" w:rsidP="00740E91">
      <w:pPr>
        <w:rPr>
          <w:noProof/>
          <w:szCs w:val="24"/>
        </w:rPr>
      </w:pPr>
    </w:p>
    <w:p w:rsidR="000A11B1" w:rsidRDefault="000A11B1" w:rsidP="00740E91">
      <w:pPr>
        <w:rPr>
          <w:noProof/>
          <w:szCs w:val="24"/>
        </w:rPr>
      </w:pPr>
    </w:p>
    <w:p w:rsidR="000A11B1" w:rsidRDefault="000A11B1" w:rsidP="00740E91">
      <w:pPr>
        <w:rPr>
          <w:noProof/>
          <w:szCs w:val="24"/>
        </w:rPr>
      </w:pPr>
    </w:p>
    <w:p w:rsidR="000A11B1" w:rsidRDefault="000A11B1" w:rsidP="00740E91">
      <w:pPr>
        <w:rPr>
          <w:noProof/>
          <w:szCs w:val="24"/>
        </w:rPr>
      </w:pPr>
    </w:p>
    <w:p w:rsidR="000A11B1" w:rsidRDefault="000A11B1" w:rsidP="00740E91">
      <w:pPr>
        <w:rPr>
          <w:noProof/>
          <w:szCs w:val="24"/>
        </w:rPr>
      </w:pPr>
    </w:p>
    <w:p w:rsidR="000A11B1" w:rsidRDefault="000A11B1" w:rsidP="00740E91">
      <w:pPr>
        <w:rPr>
          <w:noProof/>
          <w:szCs w:val="24"/>
        </w:rPr>
      </w:pPr>
    </w:p>
    <w:p w:rsidR="000A11B1" w:rsidRDefault="000A11B1" w:rsidP="00740E91">
      <w:pPr>
        <w:rPr>
          <w:noProof/>
          <w:szCs w:val="24"/>
        </w:rPr>
      </w:pPr>
    </w:p>
    <w:p w:rsidR="000A11B1" w:rsidRDefault="000A11B1" w:rsidP="00740E91">
      <w:pPr>
        <w:rPr>
          <w:noProof/>
          <w:szCs w:val="24"/>
        </w:rPr>
      </w:pPr>
    </w:p>
    <w:p w:rsidR="00740E91" w:rsidRPr="00FF45B2" w:rsidRDefault="00740E91" w:rsidP="00740E91">
      <w:pPr>
        <w:rPr>
          <w:rFonts w:ascii="Garamond" w:hAnsi="Garamond"/>
          <w:color w:val="000000" w:themeColor="text1"/>
        </w:rPr>
      </w:pPr>
      <w:r>
        <w:rPr>
          <w:rFonts w:ascii="Garamond" w:hAnsi="Garamond"/>
          <w:color w:val="000000" w:themeColor="text1"/>
        </w:rPr>
        <w:t xml:space="preserve">NOTE: </w:t>
      </w:r>
      <w:r>
        <w:rPr>
          <w:rFonts w:ascii="Garamond" w:hAnsi="Garamond"/>
          <w:b/>
          <w:color w:val="000000" w:themeColor="text1"/>
        </w:rPr>
        <w:t>Postsecondary Teacher</w:t>
      </w:r>
      <w:r w:rsidR="00D41A0E">
        <w:rPr>
          <w:rFonts w:ascii="Garamond" w:hAnsi="Garamond"/>
          <w:b/>
          <w:color w:val="000000" w:themeColor="text1"/>
        </w:rPr>
        <w:t>s</w:t>
      </w:r>
      <w:r>
        <w:rPr>
          <w:rFonts w:ascii="Garamond" w:hAnsi="Garamond"/>
          <w:b/>
          <w:color w:val="000000" w:themeColor="text1"/>
        </w:rPr>
        <w:t xml:space="preserve"> </w:t>
      </w:r>
      <w:r>
        <w:rPr>
          <w:rFonts w:ascii="Garamond" w:hAnsi="Garamond"/>
          <w:color w:val="000000" w:themeColor="text1"/>
        </w:rPr>
        <w:t>o</w:t>
      </w:r>
      <w:r w:rsidRPr="00740E91">
        <w:rPr>
          <w:rFonts w:ascii="Garamond" w:hAnsi="Garamond"/>
          <w:color w:val="000000" w:themeColor="text1"/>
        </w:rPr>
        <w:t>ccupations</w:t>
      </w:r>
      <w:r>
        <w:rPr>
          <w:rFonts w:ascii="Garamond" w:hAnsi="Garamond"/>
          <w:color w:val="000000" w:themeColor="text1"/>
        </w:rPr>
        <w:t xml:space="preserve"> are </w:t>
      </w:r>
      <w:r w:rsidRPr="00FF45B2">
        <w:rPr>
          <w:rFonts w:ascii="Garamond" w:hAnsi="Garamond"/>
          <w:color w:val="000000" w:themeColor="text1"/>
        </w:rPr>
        <w:t xml:space="preserve">currently </w:t>
      </w:r>
      <w:r w:rsidR="007B2AAD">
        <w:rPr>
          <w:rFonts w:ascii="Garamond" w:hAnsi="Garamond"/>
          <w:color w:val="000000" w:themeColor="text1"/>
        </w:rPr>
        <w:t>excluded from</w:t>
      </w:r>
      <w:r w:rsidRPr="00FF45B2">
        <w:rPr>
          <w:rFonts w:ascii="Garamond" w:hAnsi="Garamond"/>
          <w:color w:val="000000" w:themeColor="text1"/>
        </w:rPr>
        <w:t xml:space="preserve"> the Gulf Coast Workforce Board’s list of targeted high</w:t>
      </w:r>
      <w:r>
        <w:rPr>
          <w:rFonts w:ascii="Garamond" w:hAnsi="Garamond"/>
          <w:color w:val="000000" w:themeColor="text1"/>
        </w:rPr>
        <w:t xml:space="preserve">-skill high-growth occupations. </w:t>
      </w:r>
    </w:p>
    <w:p w:rsidR="00730DA2" w:rsidRDefault="004F44C9" w:rsidP="00876414">
      <w:pPr>
        <w:pStyle w:val="Heading7"/>
        <w:spacing w:after="0"/>
        <w:rPr>
          <w:rFonts w:ascii="Garamond" w:hAnsi="Garamond"/>
          <w:sz w:val="24"/>
          <w:szCs w:val="24"/>
        </w:rPr>
      </w:pPr>
      <w:r w:rsidRPr="004F44C9">
        <w:rPr>
          <w:noProof/>
          <w:szCs w:val="24"/>
        </w:rPr>
        <w:lastRenderedPageBreak/>
        <w:drawing>
          <wp:inline distT="0" distB="0" distL="0" distR="0">
            <wp:extent cx="5486400" cy="8035860"/>
            <wp:effectExtent l="19050" t="0" r="0" b="0"/>
            <wp:docPr id="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srcRect/>
                    <a:stretch>
                      <a:fillRect/>
                    </a:stretch>
                  </pic:blipFill>
                  <pic:spPr bwMode="auto">
                    <a:xfrm>
                      <a:off x="0" y="0"/>
                      <a:ext cx="5486400" cy="8035860"/>
                    </a:xfrm>
                    <a:prstGeom prst="rect">
                      <a:avLst/>
                    </a:prstGeom>
                    <a:noFill/>
                    <a:ln w="9525">
                      <a:noFill/>
                      <a:miter lim="800000"/>
                      <a:headEnd/>
                      <a:tailEnd/>
                    </a:ln>
                  </pic:spPr>
                </pic:pic>
              </a:graphicData>
            </a:graphic>
          </wp:inline>
        </w:drawing>
      </w:r>
    </w:p>
    <w:p w:rsidR="00730DA2" w:rsidRDefault="00730DA2" w:rsidP="00876414">
      <w:pPr>
        <w:pStyle w:val="Heading7"/>
        <w:spacing w:after="0"/>
        <w:rPr>
          <w:rFonts w:ascii="Garamond" w:hAnsi="Garamond"/>
          <w:sz w:val="24"/>
          <w:szCs w:val="24"/>
        </w:rPr>
      </w:pPr>
    </w:p>
    <w:p w:rsidR="00876414" w:rsidRPr="00876414" w:rsidRDefault="00876414" w:rsidP="00876414">
      <w:pPr>
        <w:pStyle w:val="Heading7"/>
        <w:spacing w:after="0"/>
        <w:rPr>
          <w:rFonts w:ascii="Garamond" w:hAnsi="Garamond"/>
          <w:sz w:val="24"/>
          <w:szCs w:val="24"/>
        </w:rPr>
      </w:pPr>
      <w:r w:rsidRPr="00FF45B2">
        <w:rPr>
          <w:rFonts w:ascii="Garamond" w:hAnsi="Garamond"/>
          <w:sz w:val="24"/>
          <w:szCs w:val="24"/>
        </w:rPr>
        <w:lastRenderedPageBreak/>
        <w:t xml:space="preserve">Definitions and Notes </w:t>
      </w:r>
    </w:p>
    <w:p w:rsidR="00876414" w:rsidRDefault="00876414" w:rsidP="00FF45B2">
      <w:pPr>
        <w:rPr>
          <w:rFonts w:ascii="Garamond" w:hAnsi="Garamond"/>
        </w:rPr>
      </w:pPr>
    </w:p>
    <w:p w:rsidR="00FF45B2" w:rsidRPr="00FF45B2" w:rsidRDefault="00FF45B2" w:rsidP="00FF45B2">
      <w:pPr>
        <w:rPr>
          <w:rFonts w:ascii="Garamond" w:hAnsi="Garamond"/>
        </w:rPr>
      </w:pPr>
      <w:r w:rsidRPr="00FF45B2">
        <w:rPr>
          <w:rFonts w:ascii="Garamond" w:hAnsi="Garamond"/>
        </w:rPr>
        <w:t>The Educational Services sector comprises establishments that provide instruction and training in a wide variety of subjects. This instruction and training is provided by specialized establishments, such as schools, colleges, universities, and training centers. These establishments may be privately owned and operated for profit or not for profit, or they may be publicly owned and operated. They may also offer food and/or accommodation services to their students.</w:t>
      </w:r>
    </w:p>
    <w:p w:rsidR="00FF45B2" w:rsidRPr="00FF45B2" w:rsidRDefault="00FF45B2" w:rsidP="00CB0215">
      <w:pPr>
        <w:rPr>
          <w:rFonts w:ascii="Garamond" w:hAnsi="Garamond"/>
          <w:color w:val="000000" w:themeColor="text1"/>
        </w:rPr>
      </w:pPr>
    </w:p>
    <w:p w:rsidR="00CB0215" w:rsidRPr="00FF45B2" w:rsidRDefault="00CB0215" w:rsidP="00CB0215">
      <w:pPr>
        <w:rPr>
          <w:rFonts w:ascii="Garamond" w:hAnsi="Garamond"/>
          <w:color w:val="000000" w:themeColor="text1"/>
        </w:rPr>
      </w:pPr>
      <w:r w:rsidRPr="00FF45B2">
        <w:rPr>
          <w:rFonts w:ascii="Garamond" w:hAnsi="Garamond"/>
          <w:color w:val="000000" w:themeColor="text1"/>
        </w:rPr>
        <w:t xml:space="preserve">The Current Employment Statistics (CES) program of the Bureau of Labor Statistics produces nonfarm industry employment estimates for the Houston-The Woodlands-Sugar Land Metropolitan Statistical Area (MSA) based on a monthly employer’s survey. While the data is more current, </w:t>
      </w:r>
      <w:r w:rsidR="00D41A0E">
        <w:rPr>
          <w:rFonts w:ascii="Garamond" w:hAnsi="Garamond"/>
          <w:color w:val="000000" w:themeColor="text1"/>
        </w:rPr>
        <w:t>the level of</w:t>
      </w:r>
      <w:r w:rsidRPr="00FF45B2">
        <w:rPr>
          <w:rFonts w:ascii="Garamond" w:hAnsi="Garamond"/>
          <w:color w:val="000000" w:themeColor="text1"/>
        </w:rPr>
        <w:t xml:space="preserve"> detail </w:t>
      </w:r>
      <w:r w:rsidR="00D41A0E">
        <w:rPr>
          <w:rFonts w:ascii="Garamond" w:hAnsi="Garamond"/>
          <w:color w:val="000000" w:themeColor="text1"/>
        </w:rPr>
        <w:t>is insufficient to</w:t>
      </w:r>
      <w:r w:rsidRPr="00FF45B2">
        <w:rPr>
          <w:rFonts w:ascii="Garamond" w:hAnsi="Garamond"/>
          <w:color w:val="000000" w:themeColor="text1"/>
        </w:rPr>
        <w:t xml:space="preserve"> </w:t>
      </w:r>
      <w:r w:rsidR="00D41A0E">
        <w:rPr>
          <w:rFonts w:ascii="Garamond" w:hAnsi="Garamond"/>
          <w:color w:val="000000" w:themeColor="text1"/>
        </w:rPr>
        <w:t>perform an in-depth analysis of</w:t>
      </w:r>
      <w:r w:rsidRPr="00FF45B2">
        <w:rPr>
          <w:rFonts w:ascii="Garamond" w:hAnsi="Garamond"/>
          <w:color w:val="000000" w:themeColor="text1"/>
        </w:rPr>
        <w:t xml:space="preserve"> the </w:t>
      </w:r>
      <w:r w:rsidR="00D41A0E">
        <w:rPr>
          <w:rFonts w:ascii="Garamond" w:hAnsi="Garamond"/>
          <w:color w:val="000000" w:themeColor="text1"/>
        </w:rPr>
        <w:t>educational services sector</w:t>
      </w:r>
      <w:r w:rsidRPr="00FF45B2">
        <w:rPr>
          <w:rFonts w:ascii="Garamond" w:hAnsi="Garamond"/>
          <w:color w:val="000000" w:themeColor="text1"/>
        </w:rPr>
        <w:t>.</w:t>
      </w:r>
      <w:r w:rsidR="00D41A0E">
        <w:rPr>
          <w:rFonts w:ascii="Garamond" w:hAnsi="Garamond"/>
          <w:color w:val="000000" w:themeColor="text1"/>
        </w:rPr>
        <w:t xml:space="preserve"> (See Chart 3.)</w:t>
      </w:r>
    </w:p>
    <w:p w:rsidR="00CB0215" w:rsidRPr="00FF45B2" w:rsidRDefault="00CB0215" w:rsidP="00CB0215">
      <w:pPr>
        <w:rPr>
          <w:rFonts w:ascii="Garamond" w:hAnsi="Garamond"/>
          <w:color w:val="000000" w:themeColor="text1"/>
        </w:rPr>
      </w:pPr>
    </w:p>
    <w:p w:rsidR="00CB0215" w:rsidRDefault="00CB0215" w:rsidP="00CB0215">
      <w:pPr>
        <w:pStyle w:val="BodyTextIndent"/>
        <w:ind w:left="0" w:firstLine="0"/>
        <w:rPr>
          <w:rFonts w:ascii="Garamond" w:hAnsi="Garamond"/>
          <w:color w:val="000000"/>
        </w:rPr>
      </w:pPr>
      <w:r w:rsidRPr="00FF45B2">
        <w:rPr>
          <w:rFonts w:ascii="Garamond" w:hAnsi="Garamond"/>
          <w:color w:val="000000"/>
        </w:rPr>
        <w:t xml:space="preserve">Payroll data acquired from the Texas Workforce Commission enables a more detailed view of employment for the region.  Historical data in this report was compiled from quarterly employment reports submitted by employers subject to the Texas Unemployment Compensation Act. </w:t>
      </w:r>
      <w:r w:rsidR="00D41A0E">
        <w:rPr>
          <w:rFonts w:ascii="Garamond" w:hAnsi="Garamond"/>
          <w:color w:val="000000"/>
        </w:rPr>
        <w:t>(See Charts 1. and 2.)</w:t>
      </w:r>
    </w:p>
    <w:p w:rsidR="00D41A0E" w:rsidRDefault="00D41A0E" w:rsidP="00CB0215">
      <w:pPr>
        <w:pStyle w:val="BodyTextIndent"/>
        <w:ind w:left="0" w:firstLine="0"/>
        <w:rPr>
          <w:rFonts w:ascii="Garamond" w:hAnsi="Garamond"/>
          <w:color w:val="000000"/>
        </w:rPr>
      </w:pPr>
    </w:p>
    <w:p w:rsidR="00D174F1" w:rsidRDefault="00D41A0E" w:rsidP="00CB0215">
      <w:pPr>
        <w:pStyle w:val="BodyTextIndent"/>
        <w:ind w:left="0" w:firstLine="0"/>
        <w:rPr>
          <w:rFonts w:ascii="Garamond" w:hAnsi="Garamond"/>
          <w:color w:val="000000"/>
        </w:rPr>
      </w:pPr>
      <w:r>
        <w:rPr>
          <w:rFonts w:ascii="Garamond" w:hAnsi="Garamond"/>
          <w:color w:val="000000"/>
        </w:rPr>
        <w:t>The Texas Education Agency “Snapshot”</w:t>
      </w:r>
      <w:r w:rsidR="00B91D6E">
        <w:rPr>
          <w:rFonts w:ascii="Garamond" w:hAnsi="Garamond"/>
          <w:color w:val="000000"/>
        </w:rPr>
        <w:t xml:space="preserve"> summary tables provide</w:t>
      </w:r>
      <w:r>
        <w:rPr>
          <w:rFonts w:ascii="Garamond" w:hAnsi="Garamond"/>
          <w:color w:val="000000"/>
        </w:rPr>
        <w:t xml:space="preserve"> </w:t>
      </w:r>
      <w:r w:rsidRPr="00D41A0E">
        <w:rPr>
          <w:rFonts w:ascii="Garamond" w:hAnsi="Garamond"/>
          <w:color w:val="000000"/>
        </w:rPr>
        <w:t>general information about the c</w:t>
      </w:r>
      <w:r w:rsidR="00B91D6E">
        <w:rPr>
          <w:rFonts w:ascii="Garamond" w:hAnsi="Garamond"/>
          <w:color w:val="000000"/>
        </w:rPr>
        <w:t>haracteristics of public schools</w:t>
      </w:r>
      <w:r w:rsidRPr="00D41A0E">
        <w:rPr>
          <w:rFonts w:ascii="Garamond" w:hAnsi="Garamond"/>
          <w:color w:val="000000"/>
        </w:rPr>
        <w:t xml:space="preserve"> in Texas. </w:t>
      </w:r>
      <w:r w:rsidR="00C737B0">
        <w:rPr>
          <w:rFonts w:ascii="Garamond" w:hAnsi="Garamond"/>
          <w:color w:val="000000"/>
        </w:rPr>
        <w:t>See bullet points below for item definitions and concepts.</w:t>
      </w:r>
    </w:p>
    <w:p w:rsidR="00C737B0" w:rsidRDefault="00C737B0" w:rsidP="00D41071">
      <w:pPr>
        <w:pStyle w:val="BodyTextIndent"/>
        <w:ind w:left="0" w:firstLine="0"/>
        <w:rPr>
          <w:rFonts w:ascii="Garamond" w:hAnsi="Garamond"/>
          <w:color w:val="000000"/>
        </w:rPr>
      </w:pPr>
    </w:p>
    <w:p w:rsidR="00D174F1" w:rsidRDefault="00D174F1" w:rsidP="00CB0215">
      <w:pPr>
        <w:pStyle w:val="BodyTextIndent"/>
        <w:ind w:left="0" w:firstLine="0"/>
        <w:rPr>
          <w:rFonts w:ascii="Garamond" w:hAnsi="Garamond"/>
          <w:color w:val="000000"/>
        </w:rPr>
      </w:pPr>
    </w:p>
    <w:p w:rsidR="00D174F1" w:rsidRDefault="00D174F1" w:rsidP="00D174F1">
      <w:pPr>
        <w:pStyle w:val="BodyTextIndent"/>
        <w:numPr>
          <w:ilvl w:val="0"/>
          <w:numId w:val="34"/>
        </w:numPr>
        <w:rPr>
          <w:rFonts w:ascii="Garamond" w:hAnsi="Garamond"/>
          <w:color w:val="000000"/>
        </w:rPr>
      </w:pPr>
      <w:r w:rsidRPr="00D174F1">
        <w:rPr>
          <w:rFonts w:ascii="Garamond" w:hAnsi="Garamond"/>
          <w:color w:val="000000"/>
        </w:rPr>
        <w:t xml:space="preserve">TOTAL NUMBER OF SCHOOLS: A count of schools in a district that have a unique state-assigned nine-digit identifier and had students enrolled as of October </w:t>
      </w:r>
      <w:r w:rsidR="00B91D6E">
        <w:rPr>
          <w:rFonts w:ascii="Garamond" w:hAnsi="Garamond"/>
          <w:color w:val="000000"/>
        </w:rPr>
        <w:t>of a given school year</w:t>
      </w:r>
      <w:r w:rsidRPr="00D174F1">
        <w:rPr>
          <w:rFonts w:ascii="Garamond" w:hAnsi="Garamond"/>
          <w:color w:val="000000"/>
        </w:rPr>
        <w:t>.</w:t>
      </w:r>
    </w:p>
    <w:p w:rsidR="00D174F1" w:rsidRDefault="00D174F1" w:rsidP="00D174F1">
      <w:pPr>
        <w:pStyle w:val="BodyTextIndent"/>
        <w:ind w:left="720" w:firstLine="0"/>
        <w:rPr>
          <w:rFonts w:ascii="Garamond" w:hAnsi="Garamond"/>
          <w:color w:val="000000"/>
        </w:rPr>
      </w:pPr>
    </w:p>
    <w:p w:rsidR="00C737B0" w:rsidRDefault="00D174F1" w:rsidP="00D174F1">
      <w:pPr>
        <w:pStyle w:val="BodyTextIndent"/>
        <w:numPr>
          <w:ilvl w:val="0"/>
          <w:numId w:val="33"/>
        </w:numPr>
        <w:rPr>
          <w:rFonts w:ascii="Garamond" w:hAnsi="Garamond"/>
          <w:color w:val="000000"/>
        </w:rPr>
      </w:pPr>
      <w:r w:rsidRPr="00D174F1">
        <w:rPr>
          <w:rFonts w:ascii="Garamond" w:hAnsi="Garamond"/>
          <w:color w:val="000000"/>
        </w:rPr>
        <w:t xml:space="preserve">TOTAL STUDENTS: </w:t>
      </w:r>
      <w:r w:rsidR="00C737B0" w:rsidRPr="00C737B0">
        <w:rPr>
          <w:rFonts w:ascii="Garamond" w:hAnsi="Garamond"/>
          <w:color w:val="000000"/>
        </w:rPr>
        <w:t>The number of students</w:t>
      </w:r>
      <w:r w:rsidR="00C737B0">
        <w:rPr>
          <w:rFonts w:ascii="Garamond" w:hAnsi="Garamond"/>
          <w:color w:val="000000"/>
        </w:rPr>
        <w:t xml:space="preserve"> in membership as of October of a given school year</w:t>
      </w:r>
      <w:r w:rsidR="00C737B0" w:rsidRPr="00C737B0">
        <w:rPr>
          <w:rFonts w:ascii="Garamond" w:hAnsi="Garamond"/>
          <w:color w:val="000000"/>
        </w:rPr>
        <w:t>,</w:t>
      </w:r>
      <w:r w:rsidR="00C737B0">
        <w:rPr>
          <w:rFonts w:ascii="Garamond" w:hAnsi="Garamond"/>
          <w:color w:val="000000"/>
        </w:rPr>
        <w:t xml:space="preserve"> at any grade,</w:t>
      </w:r>
      <w:r w:rsidR="00C737B0" w:rsidRPr="00C737B0">
        <w:rPr>
          <w:rFonts w:ascii="Garamond" w:hAnsi="Garamond"/>
          <w:color w:val="000000"/>
        </w:rPr>
        <w:t xml:space="preserve"> from early education through grade 12. Membership is defined as the count of students enrolled with an average daily attendance status code that is not equal to zero. Students with a status code of zero, meaning</w:t>
      </w:r>
      <w:r w:rsidR="00C737B0">
        <w:rPr>
          <w:rFonts w:ascii="Garamond" w:hAnsi="Garamond"/>
          <w:color w:val="000000"/>
        </w:rPr>
        <w:t xml:space="preserve"> they are</w:t>
      </w:r>
      <w:r w:rsidR="00C737B0" w:rsidRPr="00C737B0">
        <w:rPr>
          <w:rFonts w:ascii="Garamond" w:hAnsi="Garamond"/>
          <w:color w:val="000000"/>
        </w:rPr>
        <w:t xml:space="preserve"> enrolled but not in membership, are not included in this item.</w:t>
      </w:r>
    </w:p>
    <w:p w:rsidR="00C737B0" w:rsidRDefault="00C737B0" w:rsidP="00C737B0">
      <w:pPr>
        <w:pStyle w:val="BodyTextIndent"/>
        <w:ind w:left="720" w:firstLine="0"/>
        <w:rPr>
          <w:rFonts w:ascii="Garamond" w:hAnsi="Garamond"/>
          <w:color w:val="000000"/>
        </w:rPr>
      </w:pPr>
    </w:p>
    <w:p w:rsidR="00C737B0" w:rsidRDefault="00C737B0" w:rsidP="00D174F1">
      <w:pPr>
        <w:pStyle w:val="BodyTextIndent"/>
        <w:numPr>
          <w:ilvl w:val="0"/>
          <w:numId w:val="33"/>
        </w:numPr>
        <w:rPr>
          <w:rFonts w:ascii="Garamond" w:hAnsi="Garamond"/>
          <w:color w:val="000000"/>
        </w:rPr>
      </w:pPr>
      <w:r w:rsidRPr="00C737B0">
        <w:rPr>
          <w:rFonts w:ascii="Garamond" w:hAnsi="Garamond"/>
          <w:color w:val="000000"/>
        </w:rPr>
        <w:t>TOTAL TEACHER FTE: The FTE count of personnel categorized as teachers, including special duty and permanent substitute teachers. Substitute teachers should not be confused with persons hired on a daily basis to substitute teach.</w:t>
      </w:r>
    </w:p>
    <w:p w:rsidR="00C737B0" w:rsidRDefault="00C737B0" w:rsidP="00D41071">
      <w:pPr>
        <w:pStyle w:val="BodyTextIndent"/>
        <w:ind w:left="0" w:firstLine="0"/>
        <w:rPr>
          <w:rFonts w:ascii="Garamond" w:hAnsi="Garamond"/>
          <w:color w:val="000000"/>
        </w:rPr>
      </w:pPr>
    </w:p>
    <w:p w:rsidR="00C737B0" w:rsidRDefault="00C737B0" w:rsidP="00D174F1">
      <w:pPr>
        <w:pStyle w:val="BodyTextIndent"/>
        <w:numPr>
          <w:ilvl w:val="0"/>
          <w:numId w:val="33"/>
        </w:numPr>
        <w:rPr>
          <w:rFonts w:ascii="Garamond" w:hAnsi="Garamond"/>
          <w:color w:val="000000"/>
        </w:rPr>
      </w:pPr>
      <w:r w:rsidRPr="00C737B0">
        <w:rPr>
          <w:rFonts w:ascii="Garamond" w:hAnsi="Garamond"/>
          <w:color w:val="000000"/>
        </w:rPr>
        <w:t>AVERAGE TEACHER SALARY: The sum of all the salaries of teachers divided by the total FTE count of teachers. The salary amount is pay for regular duties only; supplemental payments for activities such as coaching, band and orchestra assignments, and club sponsorships are excluded.</w:t>
      </w:r>
    </w:p>
    <w:p w:rsidR="00B91D6E" w:rsidRDefault="00B91D6E" w:rsidP="00B91D6E">
      <w:pPr>
        <w:pStyle w:val="BodyTextIndent"/>
        <w:ind w:left="720" w:firstLine="0"/>
        <w:rPr>
          <w:rFonts w:ascii="Garamond" w:hAnsi="Garamond"/>
          <w:color w:val="000000"/>
        </w:rPr>
      </w:pPr>
    </w:p>
    <w:p w:rsidR="00B91D6E" w:rsidRDefault="00B91D6E" w:rsidP="00D174F1">
      <w:pPr>
        <w:pStyle w:val="BodyTextIndent"/>
        <w:numPr>
          <w:ilvl w:val="0"/>
          <w:numId w:val="33"/>
        </w:numPr>
        <w:rPr>
          <w:rFonts w:ascii="Garamond" w:hAnsi="Garamond"/>
          <w:color w:val="000000"/>
        </w:rPr>
      </w:pPr>
      <w:r w:rsidRPr="00B91D6E">
        <w:rPr>
          <w:rFonts w:ascii="Garamond" w:hAnsi="Garamond"/>
          <w:color w:val="000000"/>
        </w:rPr>
        <w:t>NUMBER OF STUDENTS PER TEACHER</w:t>
      </w:r>
      <w:r>
        <w:rPr>
          <w:rFonts w:ascii="Garamond" w:hAnsi="Garamond"/>
          <w:color w:val="000000"/>
        </w:rPr>
        <w:t xml:space="preserve"> (STUDENT-TEACHER RATIO)</w:t>
      </w:r>
      <w:r w:rsidRPr="00B91D6E">
        <w:rPr>
          <w:rFonts w:ascii="Garamond" w:hAnsi="Garamond"/>
          <w:color w:val="000000"/>
        </w:rPr>
        <w:t>: The total number of students divided by the total teacher FTE count.</w:t>
      </w:r>
    </w:p>
    <w:p w:rsidR="00C737B0" w:rsidRDefault="00C737B0" w:rsidP="00C737B0">
      <w:pPr>
        <w:pStyle w:val="BodyTextIndent"/>
        <w:ind w:left="720" w:firstLine="0"/>
        <w:rPr>
          <w:rFonts w:ascii="Garamond" w:hAnsi="Garamond"/>
          <w:color w:val="000000"/>
        </w:rPr>
      </w:pPr>
    </w:p>
    <w:p w:rsidR="00C737B0" w:rsidRPr="00C737B0" w:rsidRDefault="00C737B0" w:rsidP="00C737B0">
      <w:pPr>
        <w:pStyle w:val="BodyTextIndent"/>
        <w:numPr>
          <w:ilvl w:val="0"/>
          <w:numId w:val="33"/>
        </w:numPr>
        <w:rPr>
          <w:rFonts w:ascii="Garamond" w:hAnsi="Garamond"/>
          <w:color w:val="000000"/>
        </w:rPr>
      </w:pPr>
      <w:r w:rsidRPr="00C737B0">
        <w:rPr>
          <w:rFonts w:ascii="Garamond" w:hAnsi="Garamond"/>
          <w:color w:val="000000"/>
        </w:rPr>
        <w:lastRenderedPageBreak/>
        <w:t>TEACHER % WITH 5 OR FEWER YEARS OF EXPERIENCE: The FTE count of teachers with zero through five years of total professional experience expressed as a percent of the total teacher FTE count. Total years of professional experience include experience earned in another Texas school</w:t>
      </w:r>
      <w:r>
        <w:rPr>
          <w:rFonts w:ascii="Garamond" w:hAnsi="Garamond"/>
          <w:color w:val="000000"/>
        </w:rPr>
        <w:t xml:space="preserve"> district or in another state.</w:t>
      </w:r>
    </w:p>
    <w:p w:rsidR="00C737B0" w:rsidRPr="00C737B0" w:rsidRDefault="00C737B0" w:rsidP="00C737B0">
      <w:pPr>
        <w:pStyle w:val="BodyTextIndent"/>
        <w:ind w:left="720" w:firstLine="0"/>
        <w:rPr>
          <w:rFonts w:ascii="Garamond" w:hAnsi="Garamond"/>
          <w:color w:val="000000"/>
        </w:rPr>
      </w:pPr>
    </w:p>
    <w:p w:rsidR="00C737B0" w:rsidRDefault="00C737B0" w:rsidP="00C737B0">
      <w:pPr>
        <w:pStyle w:val="BodyTextIndent"/>
        <w:numPr>
          <w:ilvl w:val="0"/>
          <w:numId w:val="33"/>
        </w:numPr>
        <w:rPr>
          <w:rFonts w:ascii="Garamond" w:hAnsi="Garamond"/>
          <w:color w:val="000000"/>
        </w:rPr>
      </w:pPr>
      <w:r w:rsidRPr="00C737B0">
        <w:rPr>
          <w:rFonts w:ascii="Garamond" w:hAnsi="Garamond"/>
          <w:color w:val="000000"/>
        </w:rPr>
        <w:t>TEACHER AVERAGE YEARS OF EXPERIENCE: A weighted average obtained by multiplying each teacher's FTE count by his or her years of experience, summing for all weighted counts, and then dividing by total teacher FTEs. Adjustments are made so that teachers with zero years of experience are appropriately weighted in the formula.</w:t>
      </w:r>
    </w:p>
    <w:p w:rsidR="00C737B0" w:rsidRDefault="00C737B0" w:rsidP="00C737B0">
      <w:pPr>
        <w:pStyle w:val="ListParagraph"/>
        <w:rPr>
          <w:rFonts w:ascii="Garamond" w:hAnsi="Garamond"/>
          <w:color w:val="000000"/>
        </w:rPr>
      </w:pPr>
    </w:p>
    <w:p w:rsidR="00D174F1" w:rsidRDefault="00C737B0" w:rsidP="00C737B0">
      <w:pPr>
        <w:pStyle w:val="BodyTextIndent"/>
        <w:numPr>
          <w:ilvl w:val="0"/>
          <w:numId w:val="33"/>
        </w:numPr>
        <w:rPr>
          <w:rFonts w:ascii="Garamond" w:hAnsi="Garamond"/>
          <w:color w:val="000000"/>
        </w:rPr>
      </w:pPr>
      <w:r w:rsidRPr="00C737B0">
        <w:rPr>
          <w:rFonts w:ascii="Garamond" w:hAnsi="Garamond"/>
          <w:color w:val="000000"/>
        </w:rPr>
        <w:t xml:space="preserve">TEACHER TURNOVER RATE: The FTE count of teachers not employed in the district in the fall of </w:t>
      </w:r>
      <w:r>
        <w:rPr>
          <w:rFonts w:ascii="Garamond" w:hAnsi="Garamond"/>
          <w:color w:val="000000"/>
        </w:rPr>
        <w:t>a given school year</w:t>
      </w:r>
      <w:r w:rsidRPr="00C737B0">
        <w:rPr>
          <w:rFonts w:ascii="Garamond" w:hAnsi="Garamond"/>
          <w:color w:val="000000"/>
        </w:rPr>
        <w:t xml:space="preserve">, who were employed in the district in the fall of </w:t>
      </w:r>
      <w:r>
        <w:rPr>
          <w:rFonts w:ascii="Garamond" w:hAnsi="Garamond"/>
          <w:color w:val="000000"/>
        </w:rPr>
        <w:t>the previous school year</w:t>
      </w:r>
      <w:r w:rsidRPr="00C737B0">
        <w:rPr>
          <w:rFonts w:ascii="Garamond" w:hAnsi="Garamond"/>
          <w:color w:val="000000"/>
        </w:rPr>
        <w:t>, divided by the teacher FTE count for the fall of</w:t>
      </w:r>
      <w:r>
        <w:rPr>
          <w:rFonts w:ascii="Garamond" w:hAnsi="Garamond"/>
          <w:color w:val="000000"/>
        </w:rPr>
        <w:t xml:space="preserve"> the previous school year</w:t>
      </w:r>
      <w:r w:rsidRPr="00C737B0">
        <w:rPr>
          <w:rFonts w:ascii="Garamond" w:hAnsi="Garamond"/>
          <w:color w:val="000000"/>
        </w:rPr>
        <w:t xml:space="preserve">. Social security numbers of reported teachers are checked to verify their employment status in the same district in the fall of </w:t>
      </w:r>
      <w:r w:rsidR="00B91D6E">
        <w:rPr>
          <w:rFonts w:ascii="Garamond" w:hAnsi="Garamond"/>
          <w:color w:val="000000"/>
        </w:rPr>
        <w:t>the given school year</w:t>
      </w:r>
      <w:r w:rsidRPr="00C737B0">
        <w:rPr>
          <w:rFonts w:ascii="Garamond" w:hAnsi="Garamond"/>
          <w:color w:val="000000"/>
        </w:rPr>
        <w:t xml:space="preserve">. </w:t>
      </w:r>
    </w:p>
    <w:p w:rsidR="00C737B0" w:rsidRPr="00FF45B2" w:rsidRDefault="00D174F1" w:rsidP="00CB0215">
      <w:pPr>
        <w:pStyle w:val="BodyTextIndent"/>
        <w:ind w:left="0" w:firstLine="0"/>
        <w:rPr>
          <w:rFonts w:ascii="Garamond" w:hAnsi="Garamond"/>
          <w:color w:val="000000"/>
        </w:rPr>
      </w:pPr>
      <w:r w:rsidRPr="00D174F1">
        <w:rPr>
          <w:rFonts w:ascii="Garamond" w:hAnsi="Garamond"/>
          <w:color w:val="000000"/>
        </w:rPr>
        <w:t xml:space="preserve"> </w:t>
      </w:r>
    </w:p>
    <w:p w:rsidR="00CB0215" w:rsidRPr="00FF45B2" w:rsidRDefault="00CB0215" w:rsidP="00E933B8">
      <w:pPr>
        <w:rPr>
          <w:rFonts w:ascii="Garamond" w:hAnsi="Garamond"/>
          <w:b/>
          <w:color w:val="000000"/>
          <w:szCs w:val="24"/>
        </w:rPr>
      </w:pPr>
    </w:p>
    <w:p w:rsidR="00E933B8" w:rsidRPr="00FF45B2" w:rsidRDefault="00E933B8" w:rsidP="00E933B8">
      <w:pPr>
        <w:rPr>
          <w:rFonts w:ascii="Garamond" w:hAnsi="Garamond"/>
          <w:b/>
          <w:color w:val="000000"/>
          <w:szCs w:val="24"/>
        </w:rPr>
      </w:pPr>
      <w:r w:rsidRPr="00FF45B2">
        <w:rPr>
          <w:rFonts w:ascii="Garamond" w:hAnsi="Garamond"/>
          <w:b/>
          <w:color w:val="000000"/>
          <w:szCs w:val="24"/>
        </w:rPr>
        <w:t>Projection Limitations</w:t>
      </w:r>
    </w:p>
    <w:p w:rsidR="00E933B8" w:rsidRPr="00FF45B2" w:rsidRDefault="00E933B8" w:rsidP="00E933B8">
      <w:pPr>
        <w:rPr>
          <w:rFonts w:ascii="Garamond" w:hAnsi="Garamond"/>
          <w:sz w:val="12"/>
          <w:szCs w:val="12"/>
        </w:rPr>
      </w:pPr>
    </w:p>
    <w:p w:rsidR="00E933B8" w:rsidRPr="00FF45B2" w:rsidRDefault="00E933B8" w:rsidP="00E933B8">
      <w:pPr>
        <w:rPr>
          <w:rFonts w:ascii="Garamond" w:hAnsi="Garamond"/>
        </w:rPr>
      </w:pPr>
      <w:r w:rsidRPr="00FF45B2">
        <w:rPr>
          <w:rFonts w:ascii="Garamond" w:hAnsi="Garamond"/>
        </w:rPr>
        <w:t>Industry and occupation projections are funded by the Employment and Training Administration, U.S. Department of Labor and updated every two years. The methodology involves four primary steps:</w:t>
      </w:r>
    </w:p>
    <w:p w:rsidR="00E933B8" w:rsidRPr="00FF45B2" w:rsidRDefault="00E933B8" w:rsidP="00E933B8">
      <w:pPr>
        <w:rPr>
          <w:rFonts w:ascii="Garamond" w:hAnsi="Garamond"/>
          <w:sz w:val="12"/>
          <w:szCs w:val="12"/>
        </w:rPr>
      </w:pPr>
    </w:p>
    <w:p w:rsidR="00E933B8" w:rsidRPr="00FF45B2" w:rsidRDefault="00E933B8" w:rsidP="00E933B8">
      <w:pPr>
        <w:numPr>
          <w:ilvl w:val="0"/>
          <w:numId w:val="21"/>
        </w:numPr>
        <w:rPr>
          <w:rFonts w:ascii="Garamond" w:hAnsi="Garamond"/>
        </w:rPr>
      </w:pPr>
      <w:r w:rsidRPr="00FF45B2">
        <w:rPr>
          <w:rFonts w:ascii="Garamond" w:hAnsi="Garamond"/>
        </w:rPr>
        <w:t>Identify industry historical trends</w:t>
      </w:r>
    </w:p>
    <w:p w:rsidR="00E933B8" w:rsidRPr="00FF45B2" w:rsidRDefault="00E933B8" w:rsidP="00E933B8">
      <w:pPr>
        <w:numPr>
          <w:ilvl w:val="0"/>
          <w:numId w:val="21"/>
        </w:numPr>
        <w:rPr>
          <w:rFonts w:ascii="Garamond" w:hAnsi="Garamond"/>
        </w:rPr>
      </w:pPr>
      <w:r w:rsidRPr="00FF45B2">
        <w:rPr>
          <w:rFonts w:ascii="Garamond" w:hAnsi="Garamond"/>
        </w:rPr>
        <w:t>Develop industry employment projections</w:t>
      </w:r>
    </w:p>
    <w:p w:rsidR="00E933B8" w:rsidRPr="00FF45B2" w:rsidRDefault="00E933B8" w:rsidP="00E933B8">
      <w:pPr>
        <w:numPr>
          <w:ilvl w:val="0"/>
          <w:numId w:val="21"/>
        </w:numPr>
        <w:rPr>
          <w:rFonts w:ascii="Garamond" w:hAnsi="Garamond"/>
        </w:rPr>
      </w:pPr>
      <w:r w:rsidRPr="00FF45B2">
        <w:rPr>
          <w:rFonts w:ascii="Garamond" w:hAnsi="Garamond"/>
        </w:rPr>
        <w:t>Develop occupation staffing patterns for each industry</w:t>
      </w:r>
    </w:p>
    <w:p w:rsidR="00E933B8" w:rsidRPr="00FF45B2" w:rsidRDefault="00E933B8" w:rsidP="00E933B8">
      <w:pPr>
        <w:numPr>
          <w:ilvl w:val="0"/>
          <w:numId w:val="21"/>
        </w:numPr>
        <w:rPr>
          <w:rFonts w:ascii="Garamond" w:hAnsi="Garamond"/>
        </w:rPr>
      </w:pPr>
      <w:r w:rsidRPr="00FF45B2">
        <w:rPr>
          <w:rFonts w:ascii="Garamond" w:hAnsi="Garamond"/>
        </w:rPr>
        <w:t>Develop occupation employment projections</w:t>
      </w:r>
    </w:p>
    <w:p w:rsidR="00E933B8" w:rsidRPr="00FF45B2" w:rsidRDefault="00E933B8" w:rsidP="00E933B8">
      <w:pPr>
        <w:rPr>
          <w:rFonts w:ascii="Garamond" w:hAnsi="Garamond"/>
          <w:sz w:val="12"/>
          <w:szCs w:val="12"/>
        </w:rPr>
      </w:pPr>
    </w:p>
    <w:p w:rsidR="00E933B8" w:rsidRPr="00FF45B2" w:rsidRDefault="00E933B8" w:rsidP="00E933B8">
      <w:pPr>
        <w:rPr>
          <w:rFonts w:ascii="Garamond" w:hAnsi="Garamond"/>
        </w:rPr>
      </w:pPr>
      <w:r w:rsidRPr="00FF45B2">
        <w:rPr>
          <w:rFonts w:ascii="Garamond" w:hAnsi="Garamond"/>
        </w:rPr>
        <w:t xml:space="preserve">The projections will foretell the general industry and occupational trends and act as an indicator of relative magnitude and probable direction as opposed to an estimate of absolute values. Additional detail on projection methodology and its limitations can be found at: </w:t>
      </w:r>
      <w:hyperlink r:id="rId31" w:history="1">
        <w:r w:rsidRPr="00FF45B2">
          <w:rPr>
            <w:rStyle w:val="Hyperlink"/>
            <w:rFonts w:ascii="Garamond" w:hAnsi="Garamond"/>
          </w:rPr>
          <w:t>http://www.tracer2.com/?PAGEID=67&amp;SUBID=114</w:t>
        </w:r>
      </w:hyperlink>
      <w:r w:rsidRPr="00FF45B2">
        <w:rPr>
          <w:rFonts w:ascii="Garamond" w:hAnsi="Garamond"/>
        </w:rPr>
        <w:t xml:space="preserve"> </w:t>
      </w:r>
    </w:p>
    <w:p w:rsidR="00127A45" w:rsidRPr="00FF45B2" w:rsidRDefault="00127A45" w:rsidP="00FF18F3">
      <w:pPr>
        <w:rPr>
          <w:rFonts w:ascii="Garamond" w:hAnsi="Garamond"/>
          <w:b/>
          <w:noProof/>
          <w:color w:val="000000"/>
          <w:sz w:val="28"/>
        </w:rPr>
      </w:pPr>
    </w:p>
    <w:sectPr w:rsidR="00127A45" w:rsidRPr="00FF45B2" w:rsidSect="00730DA2">
      <w:footerReference w:type="default" r:id="rId32"/>
      <w:headerReference w:type="first" r:id="rId33"/>
      <w:footerReference w:type="first" r:id="rId34"/>
      <w:pgSz w:w="12240" w:h="15840"/>
      <w:pgMar w:top="1440" w:right="1800" w:bottom="1440" w:left="1800" w:header="432"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9EA" w:rsidRDefault="007F79EA">
      <w:r>
        <w:separator/>
      </w:r>
    </w:p>
  </w:endnote>
  <w:endnote w:type="continuationSeparator" w:id="0">
    <w:p w:rsidR="007F79EA" w:rsidRDefault="007F79EA">
      <w:r>
        <w:continuationSeparator/>
      </w:r>
    </w:p>
  </w:endnote>
  <w:endnote w:id="1">
    <w:p w:rsidR="00D325B5" w:rsidRDefault="00D325B5">
      <w:pPr>
        <w:pStyle w:val="EndnoteText"/>
      </w:pPr>
      <w:r>
        <w:rPr>
          <w:rStyle w:val="EndnoteReference"/>
        </w:rPr>
        <w:endnoteRef/>
      </w:r>
      <w:r>
        <w:t xml:space="preserve"> </w:t>
      </w:r>
      <w:r w:rsidRPr="00FF45B2">
        <w:rPr>
          <w:rFonts w:ascii="Garamond" w:hAnsi="Garamond"/>
          <w:sz w:val="16"/>
          <w:szCs w:val="16"/>
        </w:rPr>
        <w:t>Source: Texas Education Agency</w:t>
      </w:r>
      <w:r w:rsidR="00D17752">
        <w:rPr>
          <w:rFonts w:ascii="Garamond" w:hAnsi="Garamond"/>
          <w:sz w:val="16"/>
          <w:szCs w:val="16"/>
        </w:rPr>
        <w:t>– Includes all independent school districts located in the 13 counties of the Gulf Coast region irrespective of Education Service Center affiliation</w:t>
      </w:r>
      <w:r w:rsidR="00303EC9">
        <w:rPr>
          <w:rFonts w:ascii="Garamond" w:hAnsi="Garamond"/>
          <w:sz w:val="16"/>
          <w:szCs w:val="16"/>
        </w:rPr>
        <w:t>.</w:t>
      </w:r>
      <w:r w:rsidR="00CC1615">
        <w:rPr>
          <w:rFonts w:ascii="Garamond" w:hAnsi="Garamond"/>
          <w:sz w:val="16"/>
          <w:szCs w:val="16"/>
        </w:rPr>
        <w:t xml:space="preserve"> Charter schools, academies, and other alternative schools were excluded for the purposes of this report.</w:t>
      </w:r>
      <w:r w:rsidR="001C04A3">
        <w:rPr>
          <w:rFonts w:ascii="Garamond" w:hAnsi="Garamond"/>
          <w:sz w:val="16"/>
          <w:szCs w:val="16"/>
        </w:rPr>
        <w:t xml:space="preserve"> </w:t>
      </w:r>
      <w:hyperlink r:id="rId1" w:history="1">
        <w:r w:rsidR="001C04A3" w:rsidRPr="000C187E">
          <w:rPr>
            <w:rStyle w:val="Hyperlink"/>
            <w:rFonts w:ascii="Garamond" w:hAnsi="Garamond"/>
            <w:sz w:val="16"/>
            <w:szCs w:val="16"/>
          </w:rPr>
          <w:t>http://ritter.tea.state.tx.us/perfreport/snapshot/</w:t>
        </w:r>
      </w:hyperlink>
      <w:r w:rsidR="001C04A3">
        <w:rPr>
          <w:rFonts w:ascii="Garamond" w:hAnsi="Garamond"/>
          <w:sz w:val="16"/>
          <w:szCs w:val="16"/>
        </w:rPr>
        <w:t xml:space="preserve"> </w:t>
      </w:r>
    </w:p>
  </w:endnote>
  <w:endnote w:id="2">
    <w:p w:rsidR="00D17752" w:rsidRDefault="00D17752">
      <w:pPr>
        <w:pStyle w:val="EndnoteText"/>
      </w:pPr>
      <w:r>
        <w:rPr>
          <w:rStyle w:val="EndnoteReference"/>
        </w:rPr>
        <w:endnoteRef/>
      </w:r>
      <w:r>
        <w:t xml:space="preserve"> </w:t>
      </w:r>
      <w:r w:rsidRPr="00D17752">
        <w:rPr>
          <w:rFonts w:ascii="Garamond" w:hAnsi="Garamond"/>
          <w:sz w:val="16"/>
          <w:szCs w:val="16"/>
        </w:rPr>
        <w:t xml:space="preserve">Teacher turnover for the 13-county region was calculated </w:t>
      </w:r>
      <w:r w:rsidR="00CC1615">
        <w:rPr>
          <w:rFonts w:ascii="Garamond" w:hAnsi="Garamond"/>
          <w:sz w:val="16"/>
          <w:szCs w:val="16"/>
        </w:rPr>
        <w:t>using</w:t>
      </w:r>
      <w:r w:rsidRPr="00D17752">
        <w:rPr>
          <w:rFonts w:ascii="Garamond" w:hAnsi="Garamond"/>
          <w:sz w:val="16"/>
          <w:szCs w:val="16"/>
        </w:rPr>
        <w:t xml:space="preserve"> a weighted average based on the number of teacher FTEs at the start of a given school year.</w:t>
      </w:r>
      <w:r>
        <w:rPr>
          <w:rFonts w:ascii="Garamond" w:hAnsi="Garamond"/>
          <w:sz w:val="16"/>
          <w:szCs w:val="16"/>
        </w:rPr>
        <w:t xml:space="preserve"> This was due to the lack of detailed data on the </w:t>
      </w:r>
      <w:r w:rsidR="00E67942">
        <w:rPr>
          <w:rFonts w:ascii="Garamond" w:hAnsi="Garamond"/>
          <w:sz w:val="16"/>
          <w:szCs w:val="16"/>
        </w:rPr>
        <w:t>number of teachers that were not</w:t>
      </w:r>
      <w:r>
        <w:rPr>
          <w:rFonts w:ascii="Garamond" w:hAnsi="Garamond"/>
          <w:sz w:val="16"/>
          <w:szCs w:val="16"/>
        </w:rPr>
        <w:t xml:space="preserve"> employed</w:t>
      </w:r>
      <w:r w:rsidR="00CC1615">
        <w:rPr>
          <w:rFonts w:ascii="Garamond" w:hAnsi="Garamond"/>
          <w:sz w:val="16"/>
          <w:szCs w:val="16"/>
        </w:rPr>
        <w:t xml:space="preserve"> within the same district</w:t>
      </w:r>
      <w:r>
        <w:rPr>
          <w:rFonts w:ascii="Garamond" w:hAnsi="Garamond"/>
          <w:sz w:val="16"/>
          <w:szCs w:val="16"/>
        </w:rPr>
        <w:t xml:space="preserve"> from one school year to</w:t>
      </w:r>
      <w:r w:rsidR="00CC1615">
        <w:rPr>
          <w:rFonts w:ascii="Garamond" w:hAnsi="Garamond"/>
          <w:sz w:val="16"/>
          <w:szCs w:val="16"/>
        </w:rPr>
        <w:t xml:space="preserve"> the</w:t>
      </w:r>
      <w:r>
        <w:rPr>
          <w:rFonts w:ascii="Garamond" w:hAnsi="Garamond"/>
          <w:sz w:val="16"/>
          <w:szCs w:val="16"/>
        </w:rPr>
        <w:t xml:space="preserve"> next.</w:t>
      </w:r>
      <w:r w:rsidR="005C2318">
        <w:rPr>
          <w:rFonts w:ascii="Garamond" w:hAnsi="Garamond"/>
          <w:sz w:val="16"/>
          <w:szCs w:val="16"/>
        </w:rPr>
        <w:t xml:space="preserve"> See definition of teacher turnover in Definitions and Notes section at end of report.</w:t>
      </w:r>
    </w:p>
  </w:endnote>
  <w:endnote w:id="3">
    <w:p w:rsidR="00D325B5" w:rsidRDefault="00D325B5">
      <w:pPr>
        <w:pStyle w:val="EndnoteText"/>
      </w:pPr>
      <w:r>
        <w:rPr>
          <w:rStyle w:val="EndnoteReference"/>
        </w:rPr>
        <w:endnoteRef/>
      </w:r>
      <w:r>
        <w:t xml:space="preserve"> </w:t>
      </w:r>
      <w:r w:rsidRPr="00FF45B2">
        <w:rPr>
          <w:rFonts w:ascii="Garamond" w:hAnsi="Garamond"/>
          <w:sz w:val="16"/>
          <w:szCs w:val="16"/>
        </w:rPr>
        <w:t>Source: Texas High Education Coordinating Board</w:t>
      </w:r>
      <w:r w:rsidR="00303EC9">
        <w:rPr>
          <w:rFonts w:ascii="Garamond" w:hAnsi="Garamond"/>
          <w:sz w:val="16"/>
          <w:szCs w:val="16"/>
        </w:rPr>
        <w:t xml:space="preserve">, </w:t>
      </w:r>
      <w:r w:rsidR="00AC3FFD">
        <w:rPr>
          <w:rFonts w:ascii="Garamond" w:hAnsi="Garamond"/>
          <w:sz w:val="16"/>
          <w:szCs w:val="16"/>
        </w:rPr>
        <w:t xml:space="preserve">13-county </w:t>
      </w:r>
      <w:r w:rsidR="00303EC9">
        <w:rPr>
          <w:rFonts w:ascii="Garamond" w:hAnsi="Garamond"/>
          <w:sz w:val="16"/>
          <w:szCs w:val="16"/>
        </w:rPr>
        <w:t xml:space="preserve">Higher Education Region 6 </w:t>
      </w:r>
      <w:r w:rsidR="00334F2F">
        <w:rPr>
          <w:rFonts w:ascii="Garamond" w:hAnsi="Garamond"/>
          <w:sz w:val="16"/>
          <w:szCs w:val="16"/>
        </w:rPr>
        <w:t>shares identical geography with the</w:t>
      </w:r>
      <w:r w:rsidR="00303EC9">
        <w:rPr>
          <w:rFonts w:ascii="Garamond" w:hAnsi="Garamond"/>
          <w:sz w:val="16"/>
          <w:szCs w:val="16"/>
        </w:rPr>
        <w:t xml:space="preserve"> 13-county Gulf Coast Workforce Investment Board region</w:t>
      </w:r>
      <w:r w:rsidR="00036612">
        <w:rPr>
          <w:rFonts w:ascii="Garamond" w:hAnsi="Garamond"/>
          <w:sz w:val="16"/>
          <w:szCs w:val="16"/>
        </w:rPr>
        <w:t xml:space="preserve"> 28</w:t>
      </w:r>
      <w:r w:rsidR="00303EC9">
        <w:rPr>
          <w:rFonts w:ascii="Garamond" w:hAnsi="Garamond"/>
          <w:sz w:val="16"/>
          <w:szCs w:val="16"/>
        </w:rPr>
        <w:t xml:space="preserve">. </w:t>
      </w:r>
      <w:hyperlink r:id="rId2" w:history="1">
        <w:r w:rsidR="001C04A3" w:rsidRPr="000C187E">
          <w:rPr>
            <w:rStyle w:val="Hyperlink"/>
            <w:rFonts w:ascii="Garamond" w:hAnsi="Garamond"/>
            <w:sz w:val="16"/>
            <w:szCs w:val="16"/>
          </w:rPr>
          <w:t>www.txhighereddata.org/reports/performance/regions/</w:t>
        </w:r>
      </w:hyperlink>
      <w:r w:rsidR="001C04A3">
        <w:rPr>
          <w:rFonts w:ascii="Garamond" w:hAnsi="Garamond"/>
          <w:sz w:val="16"/>
          <w:szCs w:val="16"/>
        </w:rPr>
        <w:t xml:space="preserve"> </w:t>
      </w:r>
    </w:p>
  </w:endnote>
  <w:endnote w:id="4">
    <w:p w:rsidR="0001759A" w:rsidRDefault="0001759A" w:rsidP="0001759A">
      <w:pPr>
        <w:pStyle w:val="EndnoteText"/>
      </w:pPr>
      <w:r>
        <w:rPr>
          <w:rStyle w:val="EndnoteReference"/>
        </w:rPr>
        <w:endnoteRef/>
      </w:r>
      <w:r>
        <w:t xml:space="preserve"> “</w:t>
      </w:r>
      <w:r w:rsidRPr="009A39C0">
        <w:rPr>
          <w:rFonts w:ascii="Garamond" w:hAnsi="Garamond"/>
          <w:sz w:val="16"/>
          <w:szCs w:val="16"/>
        </w:rPr>
        <w:t>In region” refers to</w:t>
      </w:r>
      <w:r w:rsidR="009A39C0">
        <w:rPr>
          <w:rFonts w:ascii="Garamond" w:hAnsi="Garamond"/>
          <w:sz w:val="16"/>
          <w:szCs w:val="16"/>
        </w:rPr>
        <w:t xml:space="preserve"> students</w:t>
      </w:r>
      <w:r w:rsidRPr="009A39C0">
        <w:rPr>
          <w:rFonts w:ascii="Garamond" w:hAnsi="Garamond"/>
          <w:sz w:val="16"/>
          <w:szCs w:val="16"/>
        </w:rPr>
        <w:t xml:space="preserve"> enrolled in</w:t>
      </w:r>
      <w:r w:rsidR="009A39C0" w:rsidRPr="009A39C0">
        <w:rPr>
          <w:rFonts w:ascii="Garamond" w:hAnsi="Garamond"/>
          <w:sz w:val="16"/>
          <w:szCs w:val="16"/>
        </w:rPr>
        <w:t xml:space="preserve"> postsecondary education in the same Texas </w:t>
      </w:r>
      <w:r w:rsidRPr="009A39C0">
        <w:rPr>
          <w:rFonts w:ascii="Garamond" w:hAnsi="Garamond"/>
          <w:sz w:val="16"/>
          <w:szCs w:val="16"/>
        </w:rPr>
        <w:t>Higher Education Region</w:t>
      </w:r>
      <w:r w:rsidR="009A39C0" w:rsidRPr="009A39C0">
        <w:rPr>
          <w:rFonts w:ascii="Garamond" w:hAnsi="Garamond"/>
          <w:sz w:val="16"/>
          <w:szCs w:val="16"/>
        </w:rPr>
        <w:t xml:space="preserve"> </w:t>
      </w:r>
      <w:r w:rsidR="009A39C0">
        <w:rPr>
          <w:rFonts w:ascii="Garamond" w:hAnsi="Garamond"/>
          <w:sz w:val="16"/>
          <w:szCs w:val="16"/>
        </w:rPr>
        <w:t>in</w:t>
      </w:r>
      <w:r w:rsidR="009A39C0" w:rsidRPr="009A39C0">
        <w:rPr>
          <w:rFonts w:ascii="Garamond" w:hAnsi="Garamond"/>
          <w:sz w:val="16"/>
          <w:szCs w:val="16"/>
        </w:rPr>
        <w:t xml:space="preserve"> which they </w:t>
      </w:r>
      <w:r w:rsidR="009A39C0">
        <w:rPr>
          <w:rFonts w:ascii="Garamond" w:hAnsi="Garamond"/>
          <w:sz w:val="16"/>
          <w:szCs w:val="16"/>
        </w:rPr>
        <w:t>maintain a permanent address</w:t>
      </w:r>
      <w:r w:rsidR="009A39C0" w:rsidRPr="009A39C0">
        <w:rPr>
          <w:rFonts w:ascii="Garamond" w:hAnsi="Garamond"/>
          <w:sz w:val="16"/>
          <w:szCs w:val="16"/>
        </w:rPr>
        <w:t>.</w:t>
      </w:r>
      <w:r>
        <w:t xml:space="preserve"> </w:t>
      </w:r>
      <w:r w:rsidR="00B208F4" w:rsidRPr="00B208F4">
        <w:rPr>
          <w:rFonts w:ascii="Garamond" w:hAnsi="Garamond"/>
          <w:sz w:val="16"/>
          <w:szCs w:val="16"/>
        </w:rPr>
        <w:t xml:space="preserve">“Out of region” refers to students enrolled in postsecondary education in a Texas Higher Education Region other than the one in which they maintain a permanent </w:t>
      </w:r>
      <w:r w:rsidR="00B208F4">
        <w:rPr>
          <w:rFonts w:ascii="Garamond" w:hAnsi="Garamond"/>
          <w:sz w:val="16"/>
          <w:szCs w:val="16"/>
        </w:rPr>
        <w:t>address</w:t>
      </w:r>
      <w:r w:rsidR="00B208F4" w:rsidRPr="00B208F4">
        <w:rPr>
          <w:rFonts w:ascii="Garamond" w:hAnsi="Garamond"/>
          <w:sz w:val="16"/>
          <w:szCs w:val="16"/>
        </w:rPr>
        <w:t>.</w:t>
      </w:r>
    </w:p>
  </w:endnote>
  <w:endnote w:id="5">
    <w:p w:rsidR="004209BB" w:rsidRPr="00303EC9" w:rsidRDefault="004209BB" w:rsidP="004209BB">
      <w:pPr>
        <w:pStyle w:val="EndnoteText"/>
        <w:rPr>
          <w:rFonts w:ascii="Garamond" w:hAnsi="Garamond"/>
        </w:rPr>
      </w:pPr>
      <w:r w:rsidRPr="00303EC9">
        <w:rPr>
          <w:rStyle w:val="EndnoteReference"/>
          <w:rFonts w:ascii="Garamond" w:hAnsi="Garamond"/>
        </w:rPr>
        <w:endnoteRef/>
      </w:r>
      <w:r w:rsidRPr="00303EC9">
        <w:rPr>
          <w:rFonts w:ascii="Garamond" w:hAnsi="Garamond"/>
        </w:rPr>
        <w:t xml:space="preserve"> </w:t>
      </w:r>
      <w:r w:rsidRPr="00303EC9">
        <w:rPr>
          <w:rFonts w:ascii="Garamond" w:hAnsi="Garamond"/>
          <w:sz w:val="16"/>
          <w:szCs w:val="16"/>
        </w:rPr>
        <w:t xml:space="preserve">Source: New York Times, April 24, 2010 </w:t>
      </w:r>
      <w:r w:rsidRPr="00303EC9">
        <w:rPr>
          <w:rFonts w:ascii="Garamond" w:hAnsi="Garamond"/>
          <w:i/>
          <w:sz w:val="16"/>
          <w:szCs w:val="16"/>
        </w:rPr>
        <w:t>Last Teacher In, First Out? City Has Another Idea</w:t>
      </w:r>
    </w:p>
  </w:endnote>
  <w:endnote w:id="6">
    <w:p w:rsidR="00B63228" w:rsidRDefault="00B63228">
      <w:pPr>
        <w:pStyle w:val="EndnoteText"/>
        <w:rPr>
          <w:rFonts w:ascii="Garamond" w:hAnsi="Garamond"/>
          <w:i/>
          <w:sz w:val="16"/>
          <w:szCs w:val="16"/>
        </w:rPr>
      </w:pPr>
      <w:r w:rsidRPr="00B63228">
        <w:rPr>
          <w:rStyle w:val="EndnoteReference"/>
          <w:rFonts w:ascii="Garamond" w:hAnsi="Garamond"/>
          <w:sz w:val="16"/>
          <w:szCs w:val="16"/>
        </w:rPr>
        <w:endnoteRef/>
      </w:r>
      <w:r w:rsidRPr="00B63228">
        <w:rPr>
          <w:rFonts w:ascii="Garamond" w:hAnsi="Garamond"/>
          <w:sz w:val="16"/>
          <w:szCs w:val="16"/>
        </w:rPr>
        <w:t xml:space="preserve"> Source: Education Week, May 16, 2012, Richard M. Ingersoll </w:t>
      </w:r>
      <w:r w:rsidRPr="00B63228">
        <w:rPr>
          <w:rFonts w:ascii="Garamond" w:hAnsi="Garamond"/>
          <w:i/>
          <w:sz w:val="16"/>
          <w:szCs w:val="16"/>
        </w:rPr>
        <w:t>Beginning Teacher Induction: What the Data Tell Us</w:t>
      </w:r>
    </w:p>
    <w:p w:rsidR="00CF7438" w:rsidRDefault="00CF7438">
      <w:pPr>
        <w:pStyle w:val="EndnoteText"/>
        <w:rPr>
          <w:rFonts w:ascii="Garamond" w:hAnsi="Garamond"/>
          <w:i/>
          <w:sz w:val="16"/>
          <w:szCs w:val="16"/>
        </w:rPr>
      </w:pPr>
    </w:p>
    <w:p w:rsidR="00CF7438" w:rsidRDefault="00CF7438">
      <w:pPr>
        <w:pStyle w:val="EndnoteText"/>
        <w:rPr>
          <w:rFonts w:ascii="Garamond" w:hAnsi="Garamond"/>
          <w:i/>
          <w:sz w:val="16"/>
          <w:szCs w:val="16"/>
        </w:rPr>
      </w:pPr>
    </w:p>
    <w:p w:rsidR="00EE53CD" w:rsidRPr="00B63228" w:rsidRDefault="00EE53CD">
      <w:pPr>
        <w:pStyle w:val="EndnoteText"/>
        <w:rPr>
          <w:rFonts w:ascii="Garamond" w:hAnsi="Garamond"/>
          <w:sz w:val="16"/>
          <w:szCs w:val="16"/>
        </w:rPr>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7LightCn">
    <w:altName w:val="Frutiger 47LightCn"/>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E5C" w:rsidRDefault="004E2E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58" w:rsidRDefault="00EB6B58">
    <w:pPr>
      <w:pStyle w:val="Heading1"/>
      <w:jc w:val="right"/>
      <w:rPr>
        <w:b w:val="0"/>
        <w:smallCaps w:val="0"/>
        <w:sz w:val="20"/>
      </w:rPr>
    </w:pPr>
    <w:r>
      <w:rPr>
        <w:b w:val="0"/>
        <w:smallCaps w:val="0"/>
        <w:sz w:val="20"/>
      </w:rPr>
      <w:t>Meeting the Shortage of Engineers and Geoscientists — 3</w:t>
    </w:r>
  </w:p>
  <w:p w:rsidR="00EB6B58" w:rsidRDefault="00EB6B58">
    <w:pPr>
      <w:pStyle w:val="Footer"/>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E5C" w:rsidRDefault="004E2E5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58" w:rsidRDefault="0037735C">
    <w:pPr>
      <w:pStyle w:val="Heading1"/>
      <w:jc w:val="right"/>
      <w:rPr>
        <w:b w:val="0"/>
        <w:smallCaps w:val="0"/>
        <w:sz w:val="20"/>
      </w:rPr>
    </w:pPr>
    <w:r>
      <w:rPr>
        <w:rStyle w:val="PageNumber"/>
        <w:b w:val="0"/>
        <w:smallCaps w:val="0"/>
        <w:sz w:val="20"/>
      </w:rPr>
      <w:fldChar w:fldCharType="begin"/>
    </w:r>
    <w:r w:rsidR="00EB6B58">
      <w:rPr>
        <w:rStyle w:val="PageNumber"/>
        <w:b w:val="0"/>
        <w:smallCaps w:val="0"/>
        <w:sz w:val="20"/>
      </w:rPr>
      <w:instrText xml:space="preserve"> PAGE </w:instrText>
    </w:r>
    <w:r>
      <w:rPr>
        <w:rStyle w:val="PageNumber"/>
        <w:b w:val="0"/>
        <w:smallCaps w:val="0"/>
        <w:sz w:val="20"/>
      </w:rPr>
      <w:fldChar w:fldCharType="separate"/>
    </w:r>
    <w:r w:rsidR="005C4F00">
      <w:rPr>
        <w:rStyle w:val="PageNumber"/>
        <w:b w:val="0"/>
        <w:smallCaps w:val="0"/>
        <w:noProof/>
        <w:sz w:val="20"/>
      </w:rPr>
      <w:t>15</w:t>
    </w:r>
    <w:r>
      <w:rPr>
        <w:rStyle w:val="PageNumber"/>
        <w:b w:val="0"/>
        <w:smallCaps w:val="0"/>
        <w:sz w:val="20"/>
      </w:rPr>
      <w:fldChar w:fldCharType="end"/>
    </w:r>
  </w:p>
  <w:p w:rsidR="00EB6B58" w:rsidRDefault="00EB6B58">
    <w:pPr>
      <w:pStyle w:val="Footer"/>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58" w:rsidRDefault="00EB6B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9EA" w:rsidRDefault="007F79EA">
      <w:r>
        <w:separator/>
      </w:r>
    </w:p>
  </w:footnote>
  <w:footnote w:type="continuationSeparator" w:id="0">
    <w:p w:rsidR="007F79EA" w:rsidRDefault="007F79EA">
      <w:r>
        <w:continuationSeparator/>
      </w:r>
    </w:p>
  </w:footnote>
  <w:footnote w:id="1">
    <w:p w:rsidR="00815EE6" w:rsidRDefault="00815EE6" w:rsidP="00815EE6">
      <w:pPr>
        <w:pStyle w:val="FootnoteText"/>
      </w:pPr>
      <w:r>
        <w:rPr>
          <w:rStyle w:val="FootnoteReference"/>
        </w:rPr>
        <w:footnoteRef/>
      </w:r>
      <w:r>
        <w:t xml:space="preserve"> </w:t>
      </w:r>
      <w:r w:rsidR="00D41071">
        <w:rPr>
          <w:rFonts w:ascii="Garamond" w:hAnsi="Garamond"/>
          <w:sz w:val="16"/>
          <w:szCs w:val="16"/>
        </w:rPr>
        <w:t>P</w:t>
      </w:r>
      <w:r w:rsidRPr="00D41071">
        <w:rPr>
          <w:rFonts w:ascii="Garamond" w:hAnsi="Garamond"/>
          <w:sz w:val="16"/>
          <w:szCs w:val="16"/>
        </w:rPr>
        <w:t>rior to 2008, declines in education</w:t>
      </w:r>
      <w:r w:rsidR="00483CDB" w:rsidRPr="00D41071">
        <w:rPr>
          <w:rFonts w:ascii="Garamond" w:hAnsi="Garamond"/>
          <w:sz w:val="16"/>
          <w:szCs w:val="16"/>
        </w:rPr>
        <w:t>al</w:t>
      </w:r>
      <w:r w:rsidRPr="00D41071">
        <w:rPr>
          <w:rFonts w:ascii="Garamond" w:hAnsi="Garamond"/>
          <w:sz w:val="16"/>
          <w:szCs w:val="16"/>
        </w:rPr>
        <w:t xml:space="preserve"> services employment were limited to June and July only. </w:t>
      </w:r>
      <w:r w:rsidR="00F74A34" w:rsidRPr="00D41071">
        <w:rPr>
          <w:rFonts w:ascii="Garamond" w:hAnsi="Garamond"/>
          <w:sz w:val="16"/>
          <w:szCs w:val="16"/>
        </w:rPr>
        <w:t>S</w:t>
      </w:r>
      <w:r w:rsidR="00334F2F" w:rsidRPr="00D41071">
        <w:rPr>
          <w:rFonts w:ascii="Garamond" w:hAnsi="Garamond"/>
          <w:sz w:val="16"/>
          <w:szCs w:val="16"/>
        </w:rPr>
        <w:t>ince that time</w:t>
      </w:r>
      <w:r w:rsidRPr="00D41071">
        <w:rPr>
          <w:rFonts w:ascii="Garamond" w:hAnsi="Garamond"/>
          <w:sz w:val="16"/>
          <w:szCs w:val="16"/>
        </w:rPr>
        <w:t xml:space="preserve"> Texas</w:t>
      </w:r>
      <w:r w:rsidR="00334F2F" w:rsidRPr="00D41071">
        <w:rPr>
          <w:rFonts w:ascii="Garamond" w:hAnsi="Garamond"/>
          <w:sz w:val="16"/>
          <w:szCs w:val="16"/>
        </w:rPr>
        <w:t xml:space="preserve"> public</w:t>
      </w:r>
      <w:r w:rsidRPr="00D41071">
        <w:rPr>
          <w:rFonts w:ascii="Garamond" w:hAnsi="Garamond"/>
          <w:sz w:val="16"/>
          <w:szCs w:val="16"/>
        </w:rPr>
        <w:t xml:space="preserve"> schools </w:t>
      </w:r>
      <w:r w:rsidR="001C04A3" w:rsidRPr="00D41071">
        <w:rPr>
          <w:rFonts w:ascii="Garamond" w:hAnsi="Garamond"/>
          <w:sz w:val="16"/>
          <w:szCs w:val="16"/>
        </w:rPr>
        <w:t>are</w:t>
      </w:r>
      <w:r w:rsidRPr="00D41071">
        <w:rPr>
          <w:rFonts w:ascii="Garamond" w:hAnsi="Garamond"/>
          <w:sz w:val="16"/>
          <w:szCs w:val="16"/>
        </w:rPr>
        <w:t xml:space="preserve"> prohibited from opening </w:t>
      </w:r>
      <w:r w:rsidR="00F74A34" w:rsidRPr="00D41071">
        <w:rPr>
          <w:rFonts w:ascii="Garamond" w:hAnsi="Garamond"/>
          <w:sz w:val="16"/>
          <w:szCs w:val="16"/>
        </w:rPr>
        <w:t>before</w:t>
      </w:r>
      <w:r w:rsidRPr="00D41071">
        <w:rPr>
          <w:rFonts w:ascii="Garamond" w:hAnsi="Garamond"/>
          <w:sz w:val="16"/>
          <w:szCs w:val="16"/>
        </w:rPr>
        <w:t xml:space="preserve"> the fourth Monday in August. As a result, seasonal job losses now extend </w:t>
      </w:r>
      <w:r w:rsidR="00F74A34" w:rsidRPr="00D41071">
        <w:rPr>
          <w:rFonts w:ascii="Garamond" w:hAnsi="Garamond"/>
          <w:sz w:val="16"/>
          <w:szCs w:val="16"/>
        </w:rPr>
        <w:t>in</w:t>
      </w:r>
      <w:r w:rsidRPr="00D41071">
        <w:rPr>
          <w:rFonts w:ascii="Garamond" w:hAnsi="Garamond"/>
          <w:sz w:val="16"/>
          <w:szCs w:val="16"/>
        </w:rPr>
        <w:t>to the month of August.</w:t>
      </w:r>
    </w:p>
  </w:footnote>
  <w:footnote w:id="2">
    <w:p w:rsidR="00137ED4" w:rsidRDefault="00137ED4">
      <w:pPr>
        <w:pStyle w:val="FootnoteText"/>
      </w:pPr>
      <w:r>
        <w:rPr>
          <w:rStyle w:val="FootnoteReference"/>
        </w:rPr>
        <w:footnoteRef/>
      </w:r>
      <w:r w:rsidR="00A1228F" w:rsidRPr="00D41071">
        <w:rPr>
          <w:rFonts w:ascii="Garamond" w:hAnsi="Garamond"/>
          <w:sz w:val="16"/>
          <w:szCs w:val="16"/>
        </w:rPr>
        <w:t xml:space="preserve"> S</w:t>
      </w:r>
      <w:r w:rsidRPr="00D41071">
        <w:rPr>
          <w:rFonts w:ascii="Garamond" w:hAnsi="Garamond"/>
          <w:sz w:val="16"/>
          <w:szCs w:val="16"/>
        </w:rPr>
        <w:t>imilar patterns of employment were observed among state</w:t>
      </w:r>
      <w:r w:rsidR="001C0CE2" w:rsidRPr="00D41071">
        <w:rPr>
          <w:rFonts w:ascii="Garamond" w:hAnsi="Garamond"/>
          <w:sz w:val="16"/>
          <w:szCs w:val="16"/>
        </w:rPr>
        <w:t xml:space="preserve"> government</w:t>
      </w:r>
      <w:r w:rsidRPr="00D41071">
        <w:rPr>
          <w:rFonts w:ascii="Garamond" w:hAnsi="Garamond"/>
          <w:sz w:val="16"/>
          <w:szCs w:val="16"/>
        </w:rPr>
        <w:t xml:space="preserve"> as well as private educational services over this same timeframe</w:t>
      </w:r>
      <w:r w:rsidR="00A1228F" w:rsidRPr="00D41071">
        <w:rPr>
          <w:rFonts w:ascii="Garamond" w:hAnsi="Garamond"/>
          <w:sz w:val="16"/>
          <w:szCs w:val="16"/>
        </w:rPr>
        <w:t xml:space="preserve"> hence analysis of these industries was omitted in the interest of brevity</w:t>
      </w:r>
      <w:r w:rsidRPr="00D41071">
        <w:rPr>
          <w:rFonts w:ascii="Garamond" w:hAnsi="Garamond"/>
          <w:sz w:val="16"/>
          <w:szCs w:val="16"/>
        </w:rPr>
        <w:t>.</w:t>
      </w:r>
    </w:p>
  </w:footnote>
  <w:footnote w:id="3">
    <w:p w:rsidR="00625C58" w:rsidRDefault="00625C58">
      <w:pPr>
        <w:pStyle w:val="FootnoteText"/>
      </w:pPr>
      <w:r>
        <w:rPr>
          <w:rStyle w:val="FootnoteReference"/>
        </w:rPr>
        <w:footnoteRef/>
      </w:r>
      <w:r w:rsidR="00B20C1B">
        <w:t xml:space="preserve"> </w:t>
      </w:r>
      <w:r w:rsidR="00D41071" w:rsidRPr="00CC1615">
        <w:rPr>
          <w:rFonts w:ascii="Garamond" w:hAnsi="Garamond"/>
          <w:sz w:val="16"/>
          <w:szCs w:val="16"/>
        </w:rPr>
        <w:t xml:space="preserve">Two ISDs were disbanded and absorbed into neighboring ISDs:  </w:t>
      </w:r>
      <w:r w:rsidRPr="00CC1615">
        <w:rPr>
          <w:rFonts w:ascii="Garamond" w:hAnsi="Garamond"/>
          <w:sz w:val="16"/>
          <w:szCs w:val="16"/>
        </w:rPr>
        <w:t xml:space="preserve">North Forest ISD </w:t>
      </w:r>
      <w:r w:rsidR="00724C63" w:rsidRPr="00CC1615">
        <w:rPr>
          <w:rFonts w:ascii="Garamond" w:hAnsi="Garamond"/>
          <w:sz w:val="16"/>
          <w:szCs w:val="16"/>
        </w:rPr>
        <w:t>into</w:t>
      </w:r>
      <w:r w:rsidRPr="00CC1615">
        <w:rPr>
          <w:rFonts w:ascii="Garamond" w:hAnsi="Garamond"/>
          <w:sz w:val="16"/>
          <w:szCs w:val="16"/>
        </w:rPr>
        <w:t xml:space="preserve"> Houston ISD</w:t>
      </w:r>
      <w:r w:rsidR="00D41071" w:rsidRPr="00CC1615">
        <w:rPr>
          <w:rFonts w:ascii="Garamond" w:hAnsi="Garamond"/>
          <w:sz w:val="16"/>
          <w:szCs w:val="16"/>
        </w:rPr>
        <w:t xml:space="preserve"> in 2013</w:t>
      </w:r>
      <w:r w:rsidRPr="00CC1615">
        <w:rPr>
          <w:rFonts w:ascii="Garamond" w:hAnsi="Garamond"/>
          <w:sz w:val="16"/>
          <w:szCs w:val="16"/>
        </w:rPr>
        <w:t xml:space="preserve"> </w:t>
      </w:r>
      <w:r w:rsidR="00D41071" w:rsidRPr="00CC1615">
        <w:rPr>
          <w:rFonts w:ascii="Garamond" w:hAnsi="Garamond"/>
          <w:sz w:val="16"/>
          <w:szCs w:val="16"/>
        </w:rPr>
        <w:t>and Kendleton ISD in</w:t>
      </w:r>
      <w:r w:rsidR="00070BEF">
        <w:rPr>
          <w:rFonts w:ascii="Garamond" w:hAnsi="Garamond"/>
          <w:sz w:val="16"/>
          <w:szCs w:val="16"/>
        </w:rPr>
        <w:t xml:space="preserve">to </w:t>
      </w:r>
      <w:r w:rsidR="0052134B">
        <w:rPr>
          <w:rFonts w:ascii="Garamond" w:hAnsi="Garamond"/>
          <w:sz w:val="16"/>
          <w:szCs w:val="16"/>
        </w:rPr>
        <w:t>Lamar</w:t>
      </w:r>
      <w:r w:rsidR="00070BEF">
        <w:rPr>
          <w:rFonts w:ascii="Garamond" w:hAnsi="Garamond"/>
          <w:sz w:val="16"/>
          <w:szCs w:val="16"/>
        </w:rPr>
        <w:t xml:space="preserve"> </w:t>
      </w:r>
      <w:r w:rsidR="00C47716">
        <w:rPr>
          <w:rFonts w:ascii="Garamond" w:hAnsi="Garamond"/>
          <w:sz w:val="16"/>
          <w:szCs w:val="16"/>
        </w:rPr>
        <w:t>C</w:t>
      </w:r>
      <w:r w:rsidR="00070BEF">
        <w:rPr>
          <w:rFonts w:ascii="Garamond" w:hAnsi="Garamond"/>
          <w:sz w:val="16"/>
          <w:szCs w:val="16"/>
        </w:rPr>
        <w:t>ISD in</w:t>
      </w:r>
      <w:r w:rsidR="00D41071" w:rsidRPr="00CC1615">
        <w:rPr>
          <w:rFonts w:ascii="Garamond" w:hAnsi="Garamond"/>
          <w:sz w:val="16"/>
          <w:szCs w:val="16"/>
        </w:rPr>
        <w:t xml:space="preserve"> 2010</w:t>
      </w:r>
      <w:r w:rsidR="00B20C1B" w:rsidRPr="00CC1615">
        <w:rPr>
          <w:rFonts w:ascii="Garamond" w:hAnsi="Garamond"/>
          <w:sz w:val="16"/>
          <w:szCs w:val="16"/>
        </w:rPr>
        <w:t xml:space="preserve">. </w:t>
      </w:r>
      <w:r w:rsidR="00D41071" w:rsidRPr="00CC1615">
        <w:rPr>
          <w:rFonts w:ascii="Garamond" w:hAnsi="Garamond"/>
          <w:sz w:val="16"/>
          <w:szCs w:val="16"/>
        </w:rPr>
        <w:t>In years immediately prior</w:t>
      </w:r>
      <w:r w:rsidR="00CC1615" w:rsidRPr="00CC1615">
        <w:rPr>
          <w:rFonts w:ascii="Garamond" w:hAnsi="Garamond"/>
          <w:sz w:val="16"/>
          <w:szCs w:val="16"/>
        </w:rPr>
        <w:t xml:space="preserve"> to the dissolution of these districts, turnover rates rose dramatically.</w:t>
      </w:r>
      <w:r w:rsidR="00D41071" w:rsidRPr="00CC1615">
        <w:rPr>
          <w:rFonts w:ascii="Garamond" w:hAnsi="Garamond"/>
          <w:sz w:val="16"/>
          <w:szCs w:val="16"/>
        </w:rPr>
        <w:t xml:space="preserve"> </w:t>
      </w:r>
      <w:r w:rsidR="00724C63" w:rsidRPr="00CC1615">
        <w:rPr>
          <w:rFonts w:ascii="Garamond" w:hAnsi="Garamond"/>
          <w:sz w:val="16"/>
          <w:szCs w:val="16"/>
        </w:rPr>
        <w:t>Nonetheless, t</w:t>
      </w:r>
      <w:r w:rsidR="00B20C1B" w:rsidRPr="00CC1615">
        <w:rPr>
          <w:rFonts w:ascii="Garamond" w:hAnsi="Garamond"/>
          <w:sz w:val="16"/>
          <w:szCs w:val="16"/>
        </w:rPr>
        <w:t xml:space="preserve">he impact of </w:t>
      </w:r>
      <w:r w:rsidR="00CC1615" w:rsidRPr="00CC1615">
        <w:rPr>
          <w:rFonts w:ascii="Garamond" w:hAnsi="Garamond"/>
          <w:sz w:val="16"/>
          <w:szCs w:val="16"/>
        </w:rPr>
        <w:t>their turnover on</w:t>
      </w:r>
      <w:r w:rsidR="00B20C1B" w:rsidRPr="00CC1615">
        <w:rPr>
          <w:rFonts w:ascii="Garamond" w:hAnsi="Garamond"/>
          <w:sz w:val="16"/>
          <w:szCs w:val="16"/>
        </w:rPr>
        <w:t xml:space="preserve"> </w:t>
      </w:r>
      <w:r w:rsidR="00CC1615" w:rsidRPr="00CC1615">
        <w:rPr>
          <w:rFonts w:ascii="Garamond" w:hAnsi="Garamond"/>
          <w:sz w:val="16"/>
          <w:szCs w:val="16"/>
        </w:rPr>
        <w:t>the overall rate</w:t>
      </w:r>
      <w:r w:rsidR="00B20C1B" w:rsidRPr="00CC1615">
        <w:rPr>
          <w:rFonts w:ascii="Garamond" w:hAnsi="Garamond"/>
          <w:sz w:val="16"/>
          <w:szCs w:val="16"/>
        </w:rPr>
        <w:t xml:space="preserve"> in the 13-county region was negligible</w:t>
      </w:r>
      <w:r w:rsidR="00CC1615" w:rsidRPr="00CC1615">
        <w:rPr>
          <w:rFonts w:ascii="Garamond" w:hAnsi="Garamond"/>
          <w:sz w:val="16"/>
          <w:szCs w:val="16"/>
        </w:rPr>
        <w:t xml:space="preserve"> as</w:t>
      </w:r>
      <w:r w:rsidR="00B20C1B" w:rsidRPr="00CC1615">
        <w:rPr>
          <w:rFonts w:ascii="Garamond" w:hAnsi="Garamond"/>
          <w:sz w:val="16"/>
          <w:szCs w:val="16"/>
        </w:rPr>
        <w:t xml:space="preserve"> </w:t>
      </w:r>
      <w:r w:rsidR="00CC1615" w:rsidRPr="00CC1615">
        <w:rPr>
          <w:rFonts w:ascii="Garamond" w:hAnsi="Garamond"/>
          <w:sz w:val="16"/>
          <w:szCs w:val="16"/>
        </w:rPr>
        <w:t>their respective numbers of</w:t>
      </w:r>
      <w:r w:rsidR="00B20C1B" w:rsidRPr="00CC1615">
        <w:rPr>
          <w:rFonts w:ascii="Garamond" w:hAnsi="Garamond"/>
          <w:sz w:val="16"/>
          <w:szCs w:val="16"/>
        </w:rPr>
        <w:t xml:space="preserve"> teacher FTEs comprised 0.5%</w:t>
      </w:r>
      <w:r w:rsidR="00CC1615" w:rsidRPr="00CC1615">
        <w:rPr>
          <w:rFonts w:ascii="Garamond" w:hAnsi="Garamond"/>
          <w:sz w:val="16"/>
          <w:szCs w:val="16"/>
        </w:rPr>
        <w:t xml:space="preserve"> and 0.01%</w:t>
      </w:r>
      <w:r w:rsidR="00B20C1B" w:rsidRPr="00CC1615">
        <w:rPr>
          <w:rFonts w:ascii="Garamond" w:hAnsi="Garamond"/>
          <w:sz w:val="16"/>
          <w:szCs w:val="16"/>
        </w:rPr>
        <w:t xml:space="preserve"> of all teacher FTEs</w:t>
      </w:r>
      <w:r w:rsidR="00CC1615" w:rsidRPr="00CC1615">
        <w:rPr>
          <w:rFonts w:ascii="Garamond" w:hAnsi="Garamond"/>
          <w:sz w:val="16"/>
          <w:szCs w:val="16"/>
        </w:rPr>
        <w:t xml:space="preserve"> in the region</w:t>
      </w:r>
      <w:r w:rsidR="00B20C1B" w:rsidRPr="00CC1615">
        <w:rPr>
          <w:rFonts w:ascii="Garamond" w:hAnsi="Garamond"/>
          <w:sz w:val="16"/>
          <w:szCs w:val="16"/>
        </w:rPr>
        <w:t xml:space="preserve"> at the time of dissolution.</w:t>
      </w:r>
      <w:r w:rsidR="00B20C1B">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E5C" w:rsidRDefault="004E2E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B5" w:rsidRPr="00EE53CD" w:rsidRDefault="001229B5" w:rsidP="001229B5">
    <w:pPr>
      <w:pStyle w:val="Header"/>
      <w:jc w:val="right"/>
      <w:rPr>
        <w:rFonts w:eastAsia="Times"/>
        <w:i/>
        <w:sz w:val="20"/>
      </w:rPr>
    </w:pPr>
    <w:r w:rsidRPr="00EE53CD">
      <w:rPr>
        <w:rFonts w:eastAsia="Times"/>
        <w:i/>
        <w:sz w:val="20"/>
      </w:rPr>
      <w:t>Workforce Demands in the Educational Services Industry</w:t>
    </w:r>
  </w:p>
  <w:p w:rsidR="001229B5" w:rsidRPr="00EE53CD" w:rsidRDefault="001229B5" w:rsidP="001229B5">
    <w:pPr>
      <w:pStyle w:val="Header"/>
      <w:jc w:val="right"/>
      <w:rPr>
        <w:rFonts w:eastAsia="Times"/>
        <w:i/>
        <w:sz w:val="20"/>
      </w:rPr>
    </w:pPr>
    <w:r w:rsidRPr="00EE53CD">
      <w:rPr>
        <w:rFonts w:eastAsia="Times"/>
        <w:i/>
        <w:sz w:val="20"/>
      </w:rPr>
      <w:t>October 2015</w:t>
    </w:r>
  </w:p>
  <w:p w:rsidR="00EB6B58" w:rsidRPr="00EE53CD" w:rsidRDefault="00EB6B58" w:rsidP="001229B5">
    <w:pPr>
      <w:pStyle w:val="Header"/>
      <w:rPr>
        <w:rFonts w:eastAsia="Times"/>
      </w:rPr>
    </w:pPr>
  </w:p>
  <w:p w:rsidR="00786C20" w:rsidRPr="00EE53CD" w:rsidRDefault="00786C2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58" w:rsidRDefault="00EB6B58">
    <w:pPr>
      <w:pStyle w:val="Header"/>
      <w:jc w:val="right"/>
      <w:rPr>
        <w:rFonts w:eastAsia="Times"/>
        <w:i/>
        <w:sz w:val="20"/>
      </w:rPr>
    </w:pPr>
  </w:p>
  <w:p w:rsidR="00EB6B58" w:rsidRDefault="00EB6B5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3B8" w:rsidRDefault="00E933B8">
    <w:pPr>
      <w:pStyle w:val="Header"/>
      <w:jc w:val="right"/>
      <w:rPr>
        <w:rFonts w:eastAsia="Times"/>
        <w:i/>
        <w:sz w:val="20"/>
      </w:rPr>
    </w:pPr>
    <w:r>
      <w:rPr>
        <w:rFonts w:eastAsia="Times"/>
        <w:i/>
        <w:sz w:val="20"/>
      </w:rPr>
      <w:t xml:space="preserve">Workforce Demands in the </w:t>
    </w:r>
    <w:r w:rsidR="00DD67D9">
      <w:rPr>
        <w:rFonts w:eastAsia="Times"/>
        <w:i/>
        <w:sz w:val="20"/>
      </w:rPr>
      <w:t>Education</w:t>
    </w:r>
    <w:r w:rsidR="001229B5">
      <w:rPr>
        <w:rFonts w:eastAsia="Times"/>
        <w:i/>
        <w:sz w:val="20"/>
      </w:rPr>
      <w:t>al Services</w:t>
    </w:r>
    <w:r>
      <w:rPr>
        <w:rFonts w:eastAsia="Times"/>
        <w:i/>
        <w:sz w:val="20"/>
      </w:rPr>
      <w:t xml:space="preserve"> Industry</w:t>
    </w:r>
  </w:p>
  <w:p w:rsidR="00EB6B58" w:rsidRDefault="001229B5">
    <w:pPr>
      <w:pStyle w:val="Header"/>
      <w:jc w:val="right"/>
      <w:rPr>
        <w:rFonts w:eastAsia="Times"/>
        <w:i/>
        <w:sz w:val="20"/>
      </w:rPr>
    </w:pPr>
    <w:r>
      <w:rPr>
        <w:rFonts w:eastAsia="Times"/>
        <w:i/>
        <w:sz w:val="20"/>
      </w:rPr>
      <w:t>October</w:t>
    </w:r>
    <w:r w:rsidR="00BC04A9">
      <w:rPr>
        <w:rFonts w:eastAsia="Times"/>
        <w:i/>
        <w:sz w:val="20"/>
      </w:rPr>
      <w:t xml:space="preserve"> </w:t>
    </w:r>
    <w:r w:rsidR="00EB6B58">
      <w:rPr>
        <w:rFonts w:eastAsia="Times"/>
        <w:i/>
        <w:sz w:val="20"/>
      </w:rPr>
      <w:t>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0"/>
    <w:lvl w:ilvl="0">
      <w:start w:val="1"/>
      <w:numFmt w:val="bullet"/>
      <w:lvlText w:val=""/>
      <w:lvlJc w:val="left"/>
      <w:pPr>
        <w:tabs>
          <w:tab w:val="num" w:pos="360"/>
        </w:tabs>
        <w:ind w:left="360" w:hanging="360"/>
      </w:pPr>
      <w:rPr>
        <w:rFonts w:ascii="Wingdings" w:hAnsi="Wingdings" w:hint="default"/>
        <w:sz w:val="20"/>
      </w:rPr>
    </w:lvl>
  </w:abstractNum>
  <w:abstractNum w:abstractNumId="1">
    <w:nsid w:val="00000003"/>
    <w:multiLevelType w:val="multilevel"/>
    <w:tmpl w:val="0000000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0000004"/>
    <w:multiLevelType w:val="singleLevel"/>
    <w:tmpl w:val="00000000"/>
    <w:lvl w:ilvl="0">
      <w:start w:val="1"/>
      <w:numFmt w:val="bullet"/>
      <w:lvlText w:val=""/>
      <w:lvlJc w:val="left"/>
      <w:pPr>
        <w:tabs>
          <w:tab w:val="num" w:pos="360"/>
        </w:tabs>
        <w:ind w:left="360" w:hanging="360"/>
      </w:pPr>
      <w:rPr>
        <w:rFonts w:ascii="Wingdings" w:hAnsi="Wingdings" w:hint="default"/>
        <w:sz w:val="20"/>
      </w:rPr>
    </w:lvl>
  </w:abstractNum>
  <w:abstractNum w:abstractNumId="3">
    <w:nsid w:val="00000005"/>
    <w:multiLevelType w:val="singleLevel"/>
    <w:tmpl w:val="00000000"/>
    <w:lvl w:ilvl="0">
      <w:start w:val="1"/>
      <w:numFmt w:val="bullet"/>
      <w:lvlText w:val=""/>
      <w:lvlJc w:val="left"/>
      <w:pPr>
        <w:tabs>
          <w:tab w:val="num" w:pos="360"/>
        </w:tabs>
        <w:ind w:left="360" w:hanging="360"/>
      </w:pPr>
      <w:rPr>
        <w:rFonts w:ascii="Wingdings" w:hAnsi="Wingdings" w:hint="default"/>
        <w:sz w:val="20"/>
      </w:rPr>
    </w:lvl>
  </w:abstractNum>
  <w:abstractNum w:abstractNumId="4">
    <w:nsid w:val="00000009"/>
    <w:multiLevelType w:val="multilevel"/>
    <w:tmpl w:val="0000000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000000A"/>
    <w:multiLevelType w:val="singleLevel"/>
    <w:tmpl w:val="00000000"/>
    <w:lvl w:ilvl="0">
      <w:start w:val="1"/>
      <w:numFmt w:val="bullet"/>
      <w:lvlText w:val=""/>
      <w:lvlJc w:val="left"/>
      <w:pPr>
        <w:tabs>
          <w:tab w:val="num" w:pos="360"/>
        </w:tabs>
        <w:ind w:left="360" w:hanging="360"/>
      </w:pPr>
      <w:rPr>
        <w:rFonts w:ascii="Wingdings" w:hAnsi="Wingdings" w:hint="default"/>
        <w:sz w:val="20"/>
      </w:rPr>
    </w:lvl>
  </w:abstractNum>
  <w:abstractNum w:abstractNumId="6">
    <w:nsid w:val="0000000D"/>
    <w:multiLevelType w:val="multilevel"/>
    <w:tmpl w:val="0000000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000000E"/>
    <w:multiLevelType w:val="singleLevel"/>
    <w:tmpl w:val="00000000"/>
    <w:lvl w:ilvl="0">
      <w:start w:val="1"/>
      <w:numFmt w:val="bullet"/>
      <w:lvlText w:val=""/>
      <w:lvlJc w:val="left"/>
      <w:pPr>
        <w:tabs>
          <w:tab w:val="num" w:pos="360"/>
        </w:tabs>
        <w:ind w:left="360" w:hanging="360"/>
      </w:pPr>
      <w:rPr>
        <w:rFonts w:ascii="Wingdings" w:hAnsi="Wingdings" w:hint="default"/>
        <w:sz w:val="20"/>
      </w:rPr>
    </w:lvl>
  </w:abstractNum>
  <w:abstractNum w:abstractNumId="8">
    <w:nsid w:val="0000000F"/>
    <w:multiLevelType w:val="singleLevel"/>
    <w:tmpl w:val="00000000"/>
    <w:lvl w:ilvl="0">
      <w:start w:val="1"/>
      <w:numFmt w:val="bullet"/>
      <w:lvlText w:val=""/>
      <w:lvlJc w:val="left"/>
      <w:pPr>
        <w:tabs>
          <w:tab w:val="num" w:pos="360"/>
        </w:tabs>
        <w:ind w:left="360" w:hanging="360"/>
      </w:pPr>
      <w:rPr>
        <w:rFonts w:ascii="Wingdings" w:hAnsi="Wingdings" w:hint="default"/>
        <w:sz w:val="20"/>
      </w:rPr>
    </w:lvl>
  </w:abstractNum>
  <w:abstractNum w:abstractNumId="9">
    <w:nsid w:val="00000010"/>
    <w:multiLevelType w:val="singleLevel"/>
    <w:tmpl w:val="00000000"/>
    <w:lvl w:ilvl="0">
      <w:start w:val="1"/>
      <w:numFmt w:val="bullet"/>
      <w:lvlText w:val=""/>
      <w:lvlJc w:val="left"/>
      <w:pPr>
        <w:tabs>
          <w:tab w:val="num" w:pos="360"/>
        </w:tabs>
        <w:ind w:left="360" w:hanging="360"/>
      </w:pPr>
      <w:rPr>
        <w:rFonts w:ascii="Wingdings" w:hAnsi="Wingdings" w:hint="default"/>
        <w:sz w:val="20"/>
      </w:rPr>
    </w:lvl>
  </w:abstractNum>
  <w:abstractNum w:abstractNumId="10">
    <w:nsid w:val="00000012"/>
    <w:multiLevelType w:val="singleLevel"/>
    <w:tmpl w:val="00000000"/>
    <w:lvl w:ilvl="0">
      <w:start w:val="1"/>
      <w:numFmt w:val="bullet"/>
      <w:lvlText w:val=""/>
      <w:lvlJc w:val="left"/>
      <w:pPr>
        <w:tabs>
          <w:tab w:val="num" w:pos="360"/>
        </w:tabs>
        <w:ind w:left="360" w:hanging="360"/>
      </w:pPr>
      <w:rPr>
        <w:rFonts w:ascii="Wingdings" w:hAnsi="Wingdings" w:hint="default"/>
        <w:sz w:val="20"/>
      </w:rPr>
    </w:lvl>
  </w:abstractNum>
  <w:abstractNum w:abstractNumId="11">
    <w:nsid w:val="00000016"/>
    <w:multiLevelType w:val="multilevel"/>
    <w:tmpl w:val="000000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0000017"/>
    <w:multiLevelType w:val="multilevel"/>
    <w:tmpl w:val="0000000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00000018"/>
    <w:multiLevelType w:val="multilevel"/>
    <w:tmpl w:val="00000000"/>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020B1B12"/>
    <w:multiLevelType w:val="hybridMultilevel"/>
    <w:tmpl w:val="4636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399242A"/>
    <w:multiLevelType w:val="hybridMultilevel"/>
    <w:tmpl w:val="21FC0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301A79"/>
    <w:multiLevelType w:val="hybridMultilevel"/>
    <w:tmpl w:val="77963F0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7">
    <w:nsid w:val="07074CAB"/>
    <w:multiLevelType w:val="hybridMultilevel"/>
    <w:tmpl w:val="0A94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1B503D5"/>
    <w:multiLevelType w:val="hybridMultilevel"/>
    <w:tmpl w:val="4BA8C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4AB13D7"/>
    <w:multiLevelType w:val="hybridMultilevel"/>
    <w:tmpl w:val="F41A33E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nsid w:val="21347C1A"/>
    <w:multiLevelType w:val="hybridMultilevel"/>
    <w:tmpl w:val="D2AA7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5EC7FB2"/>
    <w:multiLevelType w:val="hybridMultilevel"/>
    <w:tmpl w:val="43C8D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6742DD"/>
    <w:multiLevelType w:val="hybridMultilevel"/>
    <w:tmpl w:val="BAEC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5B2DD6"/>
    <w:multiLevelType w:val="hybridMultilevel"/>
    <w:tmpl w:val="4AE4725A"/>
    <w:lvl w:ilvl="0" w:tplc="27C2B03C">
      <w:start w:val="1"/>
      <w:numFmt w:val="bullet"/>
      <w:lvlText w:val=""/>
      <w:lvlJc w:val="left"/>
      <w:pPr>
        <w:tabs>
          <w:tab w:val="num" w:pos="360"/>
        </w:tabs>
        <w:ind w:left="360" w:hanging="360"/>
      </w:pPr>
      <w:rPr>
        <w:rFonts w:ascii="Wingdings" w:hAnsi="Wingdings" w:hint="default"/>
        <w:sz w:val="20"/>
      </w:rPr>
    </w:lvl>
    <w:lvl w:ilvl="1" w:tplc="80BE6A52" w:tentative="1">
      <w:start w:val="1"/>
      <w:numFmt w:val="bullet"/>
      <w:lvlText w:val="o"/>
      <w:lvlJc w:val="left"/>
      <w:pPr>
        <w:tabs>
          <w:tab w:val="num" w:pos="1440"/>
        </w:tabs>
        <w:ind w:left="1440" w:hanging="360"/>
      </w:pPr>
      <w:rPr>
        <w:rFonts w:ascii="Courier New" w:hAnsi="Courier New" w:cs="Courier New" w:hint="default"/>
      </w:rPr>
    </w:lvl>
    <w:lvl w:ilvl="2" w:tplc="2C4E0272" w:tentative="1">
      <w:start w:val="1"/>
      <w:numFmt w:val="bullet"/>
      <w:lvlText w:val=""/>
      <w:lvlJc w:val="left"/>
      <w:pPr>
        <w:tabs>
          <w:tab w:val="num" w:pos="2160"/>
        </w:tabs>
        <w:ind w:left="2160" w:hanging="360"/>
      </w:pPr>
      <w:rPr>
        <w:rFonts w:ascii="Wingdings" w:hAnsi="Wingdings" w:hint="default"/>
      </w:rPr>
    </w:lvl>
    <w:lvl w:ilvl="3" w:tplc="15F47840" w:tentative="1">
      <w:start w:val="1"/>
      <w:numFmt w:val="bullet"/>
      <w:lvlText w:val=""/>
      <w:lvlJc w:val="left"/>
      <w:pPr>
        <w:tabs>
          <w:tab w:val="num" w:pos="2880"/>
        </w:tabs>
        <w:ind w:left="2880" w:hanging="360"/>
      </w:pPr>
      <w:rPr>
        <w:rFonts w:ascii="Symbol" w:hAnsi="Symbol" w:hint="default"/>
      </w:rPr>
    </w:lvl>
    <w:lvl w:ilvl="4" w:tplc="C50874EC" w:tentative="1">
      <w:start w:val="1"/>
      <w:numFmt w:val="bullet"/>
      <w:lvlText w:val="o"/>
      <w:lvlJc w:val="left"/>
      <w:pPr>
        <w:tabs>
          <w:tab w:val="num" w:pos="3600"/>
        </w:tabs>
        <w:ind w:left="3600" w:hanging="360"/>
      </w:pPr>
      <w:rPr>
        <w:rFonts w:ascii="Courier New" w:hAnsi="Courier New" w:cs="Courier New" w:hint="default"/>
      </w:rPr>
    </w:lvl>
    <w:lvl w:ilvl="5" w:tplc="0FBC1C74" w:tentative="1">
      <w:start w:val="1"/>
      <w:numFmt w:val="bullet"/>
      <w:lvlText w:val=""/>
      <w:lvlJc w:val="left"/>
      <w:pPr>
        <w:tabs>
          <w:tab w:val="num" w:pos="4320"/>
        </w:tabs>
        <w:ind w:left="4320" w:hanging="360"/>
      </w:pPr>
      <w:rPr>
        <w:rFonts w:ascii="Wingdings" w:hAnsi="Wingdings" w:hint="default"/>
      </w:rPr>
    </w:lvl>
    <w:lvl w:ilvl="6" w:tplc="DE68CF9C" w:tentative="1">
      <w:start w:val="1"/>
      <w:numFmt w:val="bullet"/>
      <w:lvlText w:val=""/>
      <w:lvlJc w:val="left"/>
      <w:pPr>
        <w:tabs>
          <w:tab w:val="num" w:pos="5040"/>
        </w:tabs>
        <w:ind w:left="5040" w:hanging="360"/>
      </w:pPr>
      <w:rPr>
        <w:rFonts w:ascii="Symbol" w:hAnsi="Symbol" w:hint="default"/>
      </w:rPr>
    </w:lvl>
    <w:lvl w:ilvl="7" w:tplc="34E0C376" w:tentative="1">
      <w:start w:val="1"/>
      <w:numFmt w:val="bullet"/>
      <w:lvlText w:val="o"/>
      <w:lvlJc w:val="left"/>
      <w:pPr>
        <w:tabs>
          <w:tab w:val="num" w:pos="5760"/>
        </w:tabs>
        <w:ind w:left="5760" w:hanging="360"/>
      </w:pPr>
      <w:rPr>
        <w:rFonts w:ascii="Courier New" w:hAnsi="Courier New" w:cs="Courier New" w:hint="default"/>
      </w:rPr>
    </w:lvl>
    <w:lvl w:ilvl="8" w:tplc="27A2F572" w:tentative="1">
      <w:start w:val="1"/>
      <w:numFmt w:val="bullet"/>
      <w:lvlText w:val=""/>
      <w:lvlJc w:val="left"/>
      <w:pPr>
        <w:tabs>
          <w:tab w:val="num" w:pos="6480"/>
        </w:tabs>
        <w:ind w:left="6480" w:hanging="360"/>
      </w:pPr>
      <w:rPr>
        <w:rFonts w:ascii="Wingdings" w:hAnsi="Wingdings" w:hint="default"/>
      </w:rPr>
    </w:lvl>
  </w:abstractNum>
  <w:abstractNum w:abstractNumId="24">
    <w:nsid w:val="38EC720F"/>
    <w:multiLevelType w:val="hybridMultilevel"/>
    <w:tmpl w:val="D6B6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3F6104"/>
    <w:multiLevelType w:val="hybridMultilevel"/>
    <w:tmpl w:val="39CA6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785DCB"/>
    <w:multiLevelType w:val="hybridMultilevel"/>
    <w:tmpl w:val="1A963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CE011B"/>
    <w:multiLevelType w:val="hybridMultilevel"/>
    <w:tmpl w:val="2E1E8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9C3BAF"/>
    <w:multiLevelType w:val="hybridMultilevel"/>
    <w:tmpl w:val="EAE86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DF50CE"/>
    <w:multiLevelType w:val="hybridMultilevel"/>
    <w:tmpl w:val="49B65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B27FAD"/>
    <w:multiLevelType w:val="hybridMultilevel"/>
    <w:tmpl w:val="A406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232161"/>
    <w:multiLevelType w:val="hybridMultilevel"/>
    <w:tmpl w:val="8ECE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952CD5"/>
    <w:multiLevelType w:val="hybridMultilevel"/>
    <w:tmpl w:val="40AA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DB4A1D"/>
    <w:multiLevelType w:val="hybridMultilevel"/>
    <w:tmpl w:val="DD6E3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3"/>
  </w:num>
  <w:num w:numId="16">
    <w:abstractNumId w:val="23"/>
  </w:num>
  <w:num w:numId="17">
    <w:abstractNumId w:val="27"/>
  </w:num>
  <w:num w:numId="18">
    <w:abstractNumId w:val="15"/>
  </w:num>
  <w:num w:numId="19">
    <w:abstractNumId w:val="17"/>
  </w:num>
  <w:num w:numId="20">
    <w:abstractNumId w:val="20"/>
  </w:num>
  <w:num w:numId="21">
    <w:abstractNumId w:val="18"/>
  </w:num>
  <w:num w:numId="22">
    <w:abstractNumId w:val="25"/>
  </w:num>
  <w:num w:numId="23">
    <w:abstractNumId w:val="22"/>
  </w:num>
  <w:num w:numId="24">
    <w:abstractNumId w:val="30"/>
  </w:num>
  <w:num w:numId="25">
    <w:abstractNumId w:val="26"/>
  </w:num>
  <w:num w:numId="26">
    <w:abstractNumId w:val="33"/>
  </w:num>
  <w:num w:numId="27">
    <w:abstractNumId w:val="16"/>
  </w:num>
  <w:num w:numId="28">
    <w:abstractNumId w:val="19"/>
  </w:num>
  <w:num w:numId="29">
    <w:abstractNumId w:val="24"/>
  </w:num>
  <w:num w:numId="30">
    <w:abstractNumId w:val="29"/>
  </w:num>
  <w:num w:numId="31">
    <w:abstractNumId w:val="32"/>
  </w:num>
  <w:num w:numId="32">
    <w:abstractNumId w:val="14"/>
  </w:num>
  <w:num w:numId="33">
    <w:abstractNumId w:val="31"/>
  </w:num>
  <w:num w:numId="34">
    <w:abstractNumId w:val="28"/>
  </w:num>
  <w:num w:numId="35">
    <w:abstractNumId w:val="2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49154"/>
  </w:hdrShapeDefaults>
  <w:footnotePr>
    <w:footnote w:id="-1"/>
    <w:footnote w:id="0"/>
  </w:footnotePr>
  <w:endnotePr>
    <w:endnote w:id="-1"/>
    <w:endnote w:id="0"/>
  </w:endnotePr>
  <w:compat/>
  <w:rsids>
    <w:rsidRoot w:val="00161E1F"/>
    <w:rsid w:val="00002AD5"/>
    <w:rsid w:val="00002B9D"/>
    <w:rsid w:val="0000459D"/>
    <w:rsid w:val="00010066"/>
    <w:rsid w:val="000111F0"/>
    <w:rsid w:val="000116B8"/>
    <w:rsid w:val="000124BA"/>
    <w:rsid w:val="00012600"/>
    <w:rsid w:val="00012CC0"/>
    <w:rsid w:val="00014052"/>
    <w:rsid w:val="000149A5"/>
    <w:rsid w:val="000149BC"/>
    <w:rsid w:val="00014FD0"/>
    <w:rsid w:val="000153A7"/>
    <w:rsid w:val="0001759A"/>
    <w:rsid w:val="000179C9"/>
    <w:rsid w:val="00020EF6"/>
    <w:rsid w:val="00024A98"/>
    <w:rsid w:val="00031648"/>
    <w:rsid w:val="000326C1"/>
    <w:rsid w:val="00035236"/>
    <w:rsid w:val="0003600F"/>
    <w:rsid w:val="00036612"/>
    <w:rsid w:val="00050378"/>
    <w:rsid w:val="00051741"/>
    <w:rsid w:val="00052C59"/>
    <w:rsid w:val="00053A1A"/>
    <w:rsid w:val="00054215"/>
    <w:rsid w:val="0006132F"/>
    <w:rsid w:val="00061B01"/>
    <w:rsid w:val="00061B36"/>
    <w:rsid w:val="00066203"/>
    <w:rsid w:val="000674FA"/>
    <w:rsid w:val="000707F7"/>
    <w:rsid w:val="00070BEF"/>
    <w:rsid w:val="0007104A"/>
    <w:rsid w:val="00071A32"/>
    <w:rsid w:val="0007379B"/>
    <w:rsid w:val="00074285"/>
    <w:rsid w:val="00074D90"/>
    <w:rsid w:val="00076A6C"/>
    <w:rsid w:val="00081D8D"/>
    <w:rsid w:val="000851AC"/>
    <w:rsid w:val="00086ACF"/>
    <w:rsid w:val="000908DF"/>
    <w:rsid w:val="00091A06"/>
    <w:rsid w:val="000928EF"/>
    <w:rsid w:val="00092A1E"/>
    <w:rsid w:val="00094FEA"/>
    <w:rsid w:val="00097700"/>
    <w:rsid w:val="000A0AA2"/>
    <w:rsid w:val="000A1124"/>
    <w:rsid w:val="000A11B1"/>
    <w:rsid w:val="000A1B4F"/>
    <w:rsid w:val="000A2CB6"/>
    <w:rsid w:val="000A3005"/>
    <w:rsid w:val="000A677F"/>
    <w:rsid w:val="000B0132"/>
    <w:rsid w:val="000B06BD"/>
    <w:rsid w:val="000B2E30"/>
    <w:rsid w:val="000B5CE7"/>
    <w:rsid w:val="000C0981"/>
    <w:rsid w:val="000C1BB4"/>
    <w:rsid w:val="000C42A0"/>
    <w:rsid w:val="000C457C"/>
    <w:rsid w:val="000C45D6"/>
    <w:rsid w:val="000C51EA"/>
    <w:rsid w:val="000C55AC"/>
    <w:rsid w:val="000C726B"/>
    <w:rsid w:val="000E0407"/>
    <w:rsid w:val="000E1305"/>
    <w:rsid w:val="000E16D9"/>
    <w:rsid w:val="000E1DC0"/>
    <w:rsid w:val="000E2584"/>
    <w:rsid w:val="000E5700"/>
    <w:rsid w:val="000E6256"/>
    <w:rsid w:val="000E62A0"/>
    <w:rsid w:val="000E78F6"/>
    <w:rsid w:val="000E7DD6"/>
    <w:rsid w:val="000F0242"/>
    <w:rsid w:val="000F0609"/>
    <w:rsid w:val="000F0BEE"/>
    <w:rsid w:val="000F1316"/>
    <w:rsid w:val="000F3F84"/>
    <w:rsid w:val="000F46EB"/>
    <w:rsid w:val="001025B3"/>
    <w:rsid w:val="001072F6"/>
    <w:rsid w:val="00112553"/>
    <w:rsid w:val="0011432F"/>
    <w:rsid w:val="001157A1"/>
    <w:rsid w:val="00115B4D"/>
    <w:rsid w:val="00116550"/>
    <w:rsid w:val="00122859"/>
    <w:rsid w:val="001229B5"/>
    <w:rsid w:val="00125136"/>
    <w:rsid w:val="001260D8"/>
    <w:rsid w:val="00127A45"/>
    <w:rsid w:val="00127EC3"/>
    <w:rsid w:val="00131415"/>
    <w:rsid w:val="00132315"/>
    <w:rsid w:val="00136AB9"/>
    <w:rsid w:val="00137ED4"/>
    <w:rsid w:val="00142CA8"/>
    <w:rsid w:val="00143E62"/>
    <w:rsid w:val="00146099"/>
    <w:rsid w:val="001464C8"/>
    <w:rsid w:val="00146B1D"/>
    <w:rsid w:val="00147771"/>
    <w:rsid w:val="00147F79"/>
    <w:rsid w:val="00151C3B"/>
    <w:rsid w:val="00154812"/>
    <w:rsid w:val="00154A5F"/>
    <w:rsid w:val="00155E9C"/>
    <w:rsid w:val="00156123"/>
    <w:rsid w:val="0015646B"/>
    <w:rsid w:val="00160E91"/>
    <w:rsid w:val="00161136"/>
    <w:rsid w:val="00161E1F"/>
    <w:rsid w:val="0016272A"/>
    <w:rsid w:val="001651AC"/>
    <w:rsid w:val="00167269"/>
    <w:rsid w:val="00170BE7"/>
    <w:rsid w:val="00173546"/>
    <w:rsid w:val="00177208"/>
    <w:rsid w:val="0018446F"/>
    <w:rsid w:val="00184DE7"/>
    <w:rsid w:val="00190431"/>
    <w:rsid w:val="00193182"/>
    <w:rsid w:val="00195BC3"/>
    <w:rsid w:val="00195D78"/>
    <w:rsid w:val="001A3364"/>
    <w:rsid w:val="001A4FDD"/>
    <w:rsid w:val="001A52DD"/>
    <w:rsid w:val="001B0685"/>
    <w:rsid w:val="001B2D41"/>
    <w:rsid w:val="001B57F4"/>
    <w:rsid w:val="001B7E66"/>
    <w:rsid w:val="001C04A3"/>
    <w:rsid w:val="001C0CE2"/>
    <w:rsid w:val="001C2121"/>
    <w:rsid w:val="001C46B5"/>
    <w:rsid w:val="001C6AD4"/>
    <w:rsid w:val="001D08AA"/>
    <w:rsid w:val="001D121C"/>
    <w:rsid w:val="001D3900"/>
    <w:rsid w:val="001D540E"/>
    <w:rsid w:val="001D5F22"/>
    <w:rsid w:val="001D6E23"/>
    <w:rsid w:val="001D7584"/>
    <w:rsid w:val="001E35C2"/>
    <w:rsid w:val="001E5BCA"/>
    <w:rsid w:val="001E5D75"/>
    <w:rsid w:val="001E627E"/>
    <w:rsid w:val="001E6A71"/>
    <w:rsid w:val="001E6E94"/>
    <w:rsid w:val="001E6EDF"/>
    <w:rsid w:val="001E6F0E"/>
    <w:rsid w:val="001E7DFA"/>
    <w:rsid w:val="001F2820"/>
    <w:rsid w:val="001F336D"/>
    <w:rsid w:val="001F3CDD"/>
    <w:rsid w:val="001F3F33"/>
    <w:rsid w:val="001F4A45"/>
    <w:rsid w:val="001F4FF0"/>
    <w:rsid w:val="001F6D5B"/>
    <w:rsid w:val="0020203B"/>
    <w:rsid w:val="00203594"/>
    <w:rsid w:val="002049D2"/>
    <w:rsid w:val="00205146"/>
    <w:rsid w:val="00205C62"/>
    <w:rsid w:val="002062DF"/>
    <w:rsid w:val="0021006D"/>
    <w:rsid w:val="002107DF"/>
    <w:rsid w:val="002152C3"/>
    <w:rsid w:val="002157CF"/>
    <w:rsid w:val="002165A4"/>
    <w:rsid w:val="002268F1"/>
    <w:rsid w:val="00227CA5"/>
    <w:rsid w:val="00233676"/>
    <w:rsid w:val="00233FE9"/>
    <w:rsid w:val="00235A1B"/>
    <w:rsid w:val="002373E1"/>
    <w:rsid w:val="002379A5"/>
    <w:rsid w:val="002417C4"/>
    <w:rsid w:val="00242A2F"/>
    <w:rsid w:val="00242E56"/>
    <w:rsid w:val="00243473"/>
    <w:rsid w:val="00243B24"/>
    <w:rsid w:val="00250654"/>
    <w:rsid w:val="00250BBD"/>
    <w:rsid w:val="00252874"/>
    <w:rsid w:val="00253448"/>
    <w:rsid w:val="00253654"/>
    <w:rsid w:val="00253C3E"/>
    <w:rsid w:val="00254122"/>
    <w:rsid w:val="00257781"/>
    <w:rsid w:val="00261A43"/>
    <w:rsid w:val="002716C1"/>
    <w:rsid w:val="002744CD"/>
    <w:rsid w:val="0027458E"/>
    <w:rsid w:val="00276E80"/>
    <w:rsid w:val="002771E4"/>
    <w:rsid w:val="00280B66"/>
    <w:rsid w:val="002862AA"/>
    <w:rsid w:val="00294274"/>
    <w:rsid w:val="002966AA"/>
    <w:rsid w:val="0029672A"/>
    <w:rsid w:val="002978F0"/>
    <w:rsid w:val="002A1E25"/>
    <w:rsid w:val="002A1E3D"/>
    <w:rsid w:val="002A2165"/>
    <w:rsid w:val="002A2688"/>
    <w:rsid w:val="002A368C"/>
    <w:rsid w:val="002A553C"/>
    <w:rsid w:val="002A7F2F"/>
    <w:rsid w:val="002B0845"/>
    <w:rsid w:val="002B6FB4"/>
    <w:rsid w:val="002C0632"/>
    <w:rsid w:val="002D1B3D"/>
    <w:rsid w:val="002D1FDB"/>
    <w:rsid w:val="002D2B1E"/>
    <w:rsid w:val="002D2C01"/>
    <w:rsid w:val="002D356E"/>
    <w:rsid w:val="002D5B5E"/>
    <w:rsid w:val="002D7978"/>
    <w:rsid w:val="002E3402"/>
    <w:rsid w:val="002E3C1B"/>
    <w:rsid w:val="002E4995"/>
    <w:rsid w:val="002E52E9"/>
    <w:rsid w:val="002E7C86"/>
    <w:rsid w:val="002F16BB"/>
    <w:rsid w:val="002F454A"/>
    <w:rsid w:val="00301EE1"/>
    <w:rsid w:val="00302B7A"/>
    <w:rsid w:val="00303EC9"/>
    <w:rsid w:val="0030402F"/>
    <w:rsid w:val="00304ACF"/>
    <w:rsid w:val="003110E3"/>
    <w:rsid w:val="00311C3D"/>
    <w:rsid w:val="00312753"/>
    <w:rsid w:val="0031450D"/>
    <w:rsid w:val="00315C0A"/>
    <w:rsid w:val="00316BCE"/>
    <w:rsid w:val="0031711F"/>
    <w:rsid w:val="003174E1"/>
    <w:rsid w:val="003176F7"/>
    <w:rsid w:val="00317814"/>
    <w:rsid w:val="00327E6C"/>
    <w:rsid w:val="003330A8"/>
    <w:rsid w:val="00334F2F"/>
    <w:rsid w:val="0033523B"/>
    <w:rsid w:val="00340257"/>
    <w:rsid w:val="00342AA2"/>
    <w:rsid w:val="00346A48"/>
    <w:rsid w:val="00347E45"/>
    <w:rsid w:val="0035029D"/>
    <w:rsid w:val="00350E24"/>
    <w:rsid w:val="00350E2F"/>
    <w:rsid w:val="00351BD5"/>
    <w:rsid w:val="00351ED3"/>
    <w:rsid w:val="00352452"/>
    <w:rsid w:val="00355EB5"/>
    <w:rsid w:val="00356C65"/>
    <w:rsid w:val="00356E10"/>
    <w:rsid w:val="00360688"/>
    <w:rsid w:val="0036194A"/>
    <w:rsid w:val="00362661"/>
    <w:rsid w:val="0036431F"/>
    <w:rsid w:val="003653EC"/>
    <w:rsid w:val="00366CC3"/>
    <w:rsid w:val="00366D67"/>
    <w:rsid w:val="00371F22"/>
    <w:rsid w:val="003734BB"/>
    <w:rsid w:val="00373A8D"/>
    <w:rsid w:val="0037735C"/>
    <w:rsid w:val="00380608"/>
    <w:rsid w:val="003842D7"/>
    <w:rsid w:val="00386EAC"/>
    <w:rsid w:val="0039133A"/>
    <w:rsid w:val="00394B2C"/>
    <w:rsid w:val="0039591A"/>
    <w:rsid w:val="00397686"/>
    <w:rsid w:val="00397A55"/>
    <w:rsid w:val="00397AA4"/>
    <w:rsid w:val="003A017E"/>
    <w:rsid w:val="003A0D22"/>
    <w:rsid w:val="003A1662"/>
    <w:rsid w:val="003A5F2A"/>
    <w:rsid w:val="003B03D5"/>
    <w:rsid w:val="003B5CA7"/>
    <w:rsid w:val="003B663D"/>
    <w:rsid w:val="003C0123"/>
    <w:rsid w:val="003C0327"/>
    <w:rsid w:val="003C1D99"/>
    <w:rsid w:val="003C337E"/>
    <w:rsid w:val="003C4318"/>
    <w:rsid w:val="003C6235"/>
    <w:rsid w:val="003C6E6E"/>
    <w:rsid w:val="003D459A"/>
    <w:rsid w:val="003D4D49"/>
    <w:rsid w:val="003D5CC0"/>
    <w:rsid w:val="003D67BE"/>
    <w:rsid w:val="003D6ABF"/>
    <w:rsid w:val="003D721B"/>
    <w:rsid w:val="003D729B"/>
    <w:rsid w:val="003E2A04"/>
    <w:rsid w:val="003E6E01"/>
    <w:rsid w:val="003E74C2"/>
    <w:rsid w:val="003E7AF0"/>
    <w:rsid w:val="003F299B"/>
    <w:rsid w:val="003F2D46"/>
    <w:rsid w:val="003F34E2"/>
    <w:rsid w:val="003F38F6"/>
    <w:rsid w:val="003F5F5A"/>
    <w:rsid w:val="003F70E3"/>
    <w:rsid w:val="003F782F"/>
    <w:rsid w:val="003F79E0"/>
    <w:rsid w:val="00400EE8"/>
    <w:rsid w:val="00401029"/>
    <w:rsid w:val="0040205D"/>
    <w:rsid w:val="00404BA6"/>
    <w:rsid w:val="00407693"/>
    <w:rsid w:val="00407745"/>
    <w:rsid w:val="00407806"/>
    <w:rsid w:val="00412053"/>
    <w:rsid w:val="004121AA"/>
    <w:rsid w:val="00412FDF"/>
    <w:rsid w:val="00413828"/>
    <w:rsid w:val="00413876"/>
    <w:rsid w:val="00413AC1"/>
    <w:rsid w:val="00414FD3"/>
    <w:rsid w:val="00415B36"/>
    <w:rsid w:val="00415DBE"/>
    <w:rsid w:val="00416544"/>
    <w:rsid w:val="004209BB"/>
    <w:rsid w:val="00420C66"/>
    <w:rsid w:val="00421058"/>
    <w:rsid w:val="00423BF8"/>
    <w:rsid w:val="00426309"/>
    <w:rsid w:val="00427C9D"/>
    <w:rsid w:val="00431466"/>
    <w:rsid w:val="00437AC9"/>
    <w:rsid w:val="00437E22"/>
    <w:rsid w:val="00440274"/>
    <w:rsid w:val="0044102F"/>
    <w:rsid w:val="004410D3"/>
    <w:rsid w:val="004427F5"/>
    <w:rsid w:val="00443072"/>
    <w:rsid w:val="00446B58"/>
    <w:rsid w:val="00450E63"/>
    <w:rsid w:val="00463ABC"/>
    <w:rsid w:val="00471DAD"/>
    <w:rsid w:val="004738A8"/>
    <w:rsid w:val="0047476A"/>
    <w:rsid w:val="00474887"/>
    <w:rsid w:val="00477D74"/>
    <w:rsid w:val="00480A13"/>
    <w:rsid w:val="0048172D"/>
    <w:rsid w:val="0048258B"/>
    <w:rsid w:val="004826C5"/>
    <w:rsid w:val="00483CDB"/>
    <w:rsid w:val="00485294"/>
    <w:rsid w:val="004872CB"/>
    <w:rsid w:val="00491A8D"/>
    <w:rsid w:val="00491FBE"/>
    <w:rsid w:val="004A032F"/>
    <w:rsid w:val="004A63C2"/>
    <w:rsid w:val="004B0803"/>
    <w:rsid w:val="004B3E8F"/>
    <w:rsid w:val="004B47FB"/>
    <w:rsid w:val="004B768A"/>
    <w:rsid w:val="004C140E"/>
    <w:rsid w:val="004C49AD"/>
    <w:rsid w:val="004C6539"/>
    <w:rsid w:val="004D0338"/>
    <w:rsid w:val="004D1297"/>
    <w:rsid w:val="004D21B4"/>
    <w:rsid w:val="004D25D5"/>
    <w:rsid w:val="004D4DA6"/>
    <w:rsid w:val="004D51B3"/>
    <w:rsid w:val="004D69C9"/>
    <w:rsid w:val="004D7854"/>
    <w:rsid w:val="004E27A7"/>
    <w:rsid w:val="004E2E5C"/>
    <w:rsid w:val="004E4E4D"/>
    <w:rsid w:val="004E74A5"/>
    <w:rsid w:val="004F128B"/>
    <w:rsid w:val="004F1A1C"/>
    <w:rsid w:val="004F2516"/>
    <w:rsid w:val="004F44C9"/>
    <w:rsid w:val="004F50EF"/>
    <w:rsid w:val="004F6FD9"/>
    <w:rsid w:val="005006F0"/>
    <w:rsid w:val="00500835"/>
    <w:rsid w:val="00500B71"/>
    <w:rsid w:val="00505CCB"/>
    <w:rsid w:val="00511521"/>
    <w:rsid w:val="00512CE3"/>
    <w:rsid w:val="00513281"/>
    <w:rsid w:val="00515C65"/>
    <w:rsid w:val="0052006A"/>
    <w:rsid w:val="0052134B"/>
    <w:rsid w:val="00521F94"/>
    <w:rsid w:val="00525FC0"/>
    <w:rsid w:val="0052633A"/>
    <w:rsid w:val="00527F8A"/>
    <w:rsid w:val="00530190"/>
    <w:rsid w:val="00531AC4"/>
    <w:rsid w:val="00534585"/>
    <w:rsid w:val="00535192"/>
    <w:rsid w:val="005357EE"/>
    <w:rsid w:val="005378A1"/>
    <w:rsid w:val="00540F46"/>
    <w:rsid w:val="00542CD1"/>
    <w:rsid w:val="005452B8"/>
    <w:rsid w:val="00545367"/>
    <w:rsid w:val="00545385"/>
    <w:rsid w:val="00545BE8"/>
    <w:rsid w:val="00550942"/>
    <w:rsid w:val="00551300"/>
    <w:rsid w:val="00552AC2"/>
    <w:rsid w:val="005547BA"/>
    <w:rsid w:val="00555D53"/>
    <w:rsid w:val="00556162"/>
    <w:rsid w:val="00556289"/>
    <w:rsid w:val="005567DB"/>
    <w:rsid w:val="00556A9C"/>
    <w:rsid w:val="00561C94"/>
    <w:rsid w:val="00562B2C"/>
    <w:rsid w:val="00564503"/>
    <w:rsid w:val="00565364"/>
    <w:rsid w:val="0056611E"/>
    <w:rsid w:val="00566F17"/>
    <w:rsid w:val="005701D0"/>
    <w:rsid w:val="00570D55"/>
    <w:rsid w:val="005747BC"/>
    <w:rsid w:val="00577389"/>
    <w:rsid w:val="005863D7"/>
    <w:rsid w:val="005900EA"/>
    <w:rsid w:val="00591B4E"/>
    <w:rsid w:val="005A137A"/>
    <w:rsid w:val="005A2892"/>
    <w:rsid w:val="005A600A"/>
    <w:rsid w:val="005B12F8"/>
    <w:rsid w:val="005B13CC"/>
    <w:rsid w:val="005B1698"/>
    <w:rsid w:val="005B16EE"/>
    <w:rsid w:val="005B1F39"/>
    <w:rsid w:val="005B5585"/>
    <w:rsid w:val="005B7299"/>
    <w:rsid w:val="005B7F2C"/>
    <w:rsid w:val="005C05F6"/>
    <w:rsid w:val="005C2318"/>
    <w:rsid w:val="005C49BC"/>
    <w:rsid w:val="005C4F00"/>
    <w:rsid w:val="005C6E56"/>
    <w:rsid w:val="005D085B"/>
    <w:rsid w:val="005D1B9B"/>
    <w:rsid w:val="005D48E1"/>
    <w:rsid w:val="005D59AA"/>
    <w:rsid w:val="005D5ABB"/>
    <w:rsid w:val="005D6E19"/>
    <w:rsid w:val="005E1D04"/>
    <w:rsid w:val="005E20A0"/>
    <w:rsid w:val="005E4A86"/>
    <w:rsid w:val="005F0892"/>
    <w:rsid w:val="005F08C4"/>
    <w:rsid w:val="005F0D62"/>
    <w:rsid w:val="005F31DF"/>
    <w:rsid w:val="005F5D01"/>
    <w:rsid w:val="005F6D8C"/>
    <w:rsid w:val="005F72E8"/>
    <w:rsid w:val="00601F02"/>
    <w:rsid w:val="00605C83"/>
    <w:rsid w:val="006110E7"/>
    <w:rsid w:val="006147E2"/>
    <w:rsid w:val="00616B60"/>
    <w:rsid w:val="006170DB"/>
    <w:rsid w:val="0061749C"/>
    <w:rsid w:val="00617802"/>
    <w:rsid w:val="00621743"/>
    <w:rsid w:val="00621BDD"/>
    <w:rsid w:val="006233AF"/>
    <w:rsid w:val="00625ABF"/>
    <w:rsid w:val="00625C58"/>
    <w:rsid w:val="00626085"/>
    <w:rsid w:val="0062788E"/>
    <w:rsid w:val="006278FA"/>
    <w:rsid w:val="006323C6"/>
    <w:rsid w:val="006338A6"/>
    <w:rsid w:val="0063561C"/>
    <w:rsid w:val="006360EE"/>
    <w:rsid w:val="00642BD4"/>
    <w:rsid w:val="00642D4C"/>
    <w:rsid w:val="006434D2"/>
    <w:rsid w:val="00647F47"/>
    <w:rsid w:val="006502E1"/>
    <w:rsid w:val="006524AD"/>
    <w:rsid w:val="00654CFB"/>
    <w:rsid w:val="006560C7"/>
    <w:rsid w:val="0065664D"/>
    <w:rsid w:val="00657E20"/>
    <w:rsid w:val="00660481"/>
    <w:rsid w:val="0066165A"/>
    <w:rsid w:val="00662EF4"/>
    <w:rsid w:val="00663252"/>
    <w:rsid w:val="00663CF3"/>
    <w:rsid w:val="00667C24"/>
    <w:rsid w:val="00672DB8"/>
    <w:rsid w:val="0067345B"/>
    <w:rsid w:val="00674061"/>
    <w:rsid w:val="006747AA"/>
    <w:rsid w:val="00674E0C"/>
    <w:rsid w:val="00674F14"/>
    <w:rsid w:val="00677CA0"/>
    <w:rsid w:val="00677E07"/>
    <w:rsid w:val="0068037E"/>
    <w:rsid w:val="00681F42"/>
    <w:rsid w:val="0068403A"/>
    <w:rsid w:val="006840E6"/>
    <w:rsid w:val="00685787"/>
    <w:rsid w:val="00687B61"/>
    <w:rsid w:val="006919D0"/>
    <w:rsid w:val="00692BF8"/>
    <w:rsid w:val="00696D29"/>
    <w:rsid w:val="00697720"/>
    <w:rsid w:val="006A1148"/>
    <w:rsid w:val="006A1FAD"/>
    <w:rsid w:val="006A44DC"/>
    <w:rsid w:val="006A48C2"/>
    <w:rsid w:val="006A49DD"/>
    <w:rsid w:val="006B28A6"/>
    <w:rsid w:val="006B4402"/>
    <w:rsid w:val="006B58AF"/>
    <w:rsid w:val="006B5E3F"/>
    <w:rsid w:val="006B7AFC"/>
    <w:rsid w:val="006C5215"/>
    <w:rsid w:val="006C6204"/>
    <w:rsid w:val="006C6433"/>
    <w:rsid w:val="006C72DE"/>
    <w:rsid w:val="006C7D33"/>
    <w:rsid w:val="006D0203"/>
    <w:rsid w:val="006D0764"/>
    <w:rsid w:val="006D10F7"/>
    <w:rsid w:val="006D43A5"/>
    <w:rsid w:val="006D509F"/>
    <w:rsid w:val="006D7C43"/>
    <w:rsid w:val="006E217C"/>
    <w:rsid w:val="006E24F3"/>
    <w:rsid w:val="006E5356"/>
    <w:rsid w:val="006E7422"/>
    <w:rsid w:val="006E7B2E"/>
    <w:rsid w:val="006F56DC"/>
    <w:rsid w:val="006F5ED7"/>
    <w:rsid w:val="006F784B"/>
    <w:rsid w:val="00702A77"/>
    <w:rsid w:val="0070363B"/>
    <w:rsid w:val="00704220"/>
    <w:rsid w:val="00705B04"/>
    <w:rsid w:val="00705F74"/>
    <w:rsid w:val="00706267"/>
    <w:rsid w:val="0070761B"/>
    <w:rsid w:val="0071023F"/>
    <w:rsid w:val="00713171"/>
    <w:rsid w:val="007153EC"/>
    <w:rsid w:val="0071687C"/>
    <w:rsid w:val="007172DF"/>
    <w:rsid w:val="007172F0"/>
    <w:rsid w:val="00720713"/>
    <w:rsid w:val="00720CD7"/>
    <w:rsid w:val="00723F32"/>
    <w:rsid w:val="007242B8"/>
    <w:rsid w:val="007245BC"/>
    <w:rsid w:val="00724BF9"/>
    <w:rsid w:val="00724C63"/>
    <w:rsid w:val="007272DA"/>
    <w:rsid w:val="0072773A"/>
    <w:rsid w:val="00727BDF"/>
    <w:rsid w:val="00727F53"/>
    <w:rsid w:val="007300AF"/>
    <w:rsid w:val="00730965"/>
    <w:rsid w:val="00730ADA"/>
    <w:rsid w:val="00730DA2"/>
    <w:rsid w:val="0073129F"/>
    <w:rsid w:val="0073160D"/>
    <w:rsid w:val="00733C85"/>
    <w:rsid w:val="00733F03"/>
    <w:rsid w:val="00734C3C"/>
    <w:rsid w:val="00734CA8"/>
    <w:rsid w:val="00735B95"/>
    <w:rsid w:val="007363DF"/>
    <w:rsid w:val="007375FF"/>
    <w:rsid w:val="00740E91"/>
    <w:rsid w:val="00743914"/>
    <w:rsid w:val="00744EB4"/>
    <w:rsid w:val="00744F7F"/>
    <w:rsid w:val="00744FA5"/>
    <w:rsid w:val="00753AB1"/>
    <w:rsid w:val="00755486"/>
    <w:rsid w:val="007574DE"/>
    <w:rsid w:val="007600DE"/>
    <w:rsid w:val="00762AB4"/>
    <w:rsid w:val="00766383"/>
    <w:rsid w:val="0077080C"/>
    <w:rsid w:val="00773A09"/>
    <w:rsid w:val="00773D81"/>
    <w:rsid w:val="00774323"/>
    <w:rsid w:val="00777F8D"/>
    <w:rsid w:val="00783347"/>
    <w:rsid w:val="00784764"/>
    <w:rsid w:val="007866BA"/>
    <w:rsid w:val="00786C20"/>
    <w:rsid w:val="00790071"/>
    <w:rsid w:val="0079060B"/>
    <w:rsid w:val="00792482"/>
    <w:rsid w:val="00795922"/>
    <w:rsid w:val="007A1B8A"/>
    <w:rsid w:val="007A30DE"/>
    <w:rsid w:val="007A4879"/>
    <w:rsid w:val="007A6068"/>
    <w:rsid w:val="007A636F"/>
    <w:rsid w:val="007A6625"/>
    <w:rsid w:val="007A68F9"/>
    <w:rsid w:val="007A7E29"/>
    <w:rsid w:val="007B09DE"/>
    <w:rsid w:val="007B116E"/>
    <w:rsid w:val="007B1BEC"/>
    <w:rsid w:val="007B2AAD"/>
    <w:rsid w:val="007B37FD"/>
    <w:rsid w:val="007B5B10"/>
    <w:rsid w:val="007C037D"/>
    <w:rsid w:val="007C0D04"/>
    <w:rsid w:val="007C0F37"/>
    <w:rsid w:val="007C252A"/>
    <w:rsid w:val="007C2BBF"/>
    <w:rsid w:val="007C32D0"/>
    <w:rsid w:val="007C6D3A"/>
    <w:rsid w:val="007C7E8E"/>
    <w:rsid w:val="007D2AA8"/>
    <w:rsid w:val="007D3180"/>
    <w:rsid w:val="007D3241"/>
    <w:rsid w:val="007D42DA"/>
    <w:rsid w:val="007D5E62"/>
    <w:rsid w:val="007D6E58"/>
    <w:rsid w:val="007E0D6D"/>
    <w:rsid w:val="007E1180"/>
    <w:rsid w:val="007E2EEF"/>
    <w:rsid w:val="007E433A"/>
    <w:rsid w:val="007E4433"/>
    <w:rsid w:val="007E4925"/>
    <w:rsid w:val="007E7A8B"/>
    <w:rsid w:val="007F1626"/>
    <w:rsid w:val="007F279E"/>
    <w:rsid w:val="007F4F3F"/>
    <w:rsid w:val="007F5E92"/>
    <w:rsid w:val="007F6CBA"/>
    <w:rsid w:val="007F79EA"/>
    <w:rsid w:val="0080656A"/>
    <w:rsid w:val="0080679F"/>
    <w:rsid w:val="0081095A"/>
    <w:rsid w:val="00811521"/>
    <w:rsid w:val="00811C92"/>
    <w:rsid w:val="00811D76"/>
    <w:rsid w:val="00815A3D"/>
    <w:rsid w:val="00815EE6"/>
    <w:rsid w:val="008166B9"/>
    <w:rsid w:val="008169FE"/>
    <w:rsid w:val="00817DE3"/>
    <w:rsid w:val="008201E5"/>
    <w:rsid w:val="008210EF"/>
    <w:rsid w:val="008228F7"/>
    <w:rsid w:val="0082422C"/>
    <w:rsid w:val="0082537E"/>
    <w:rsid w:val="008259C3"/>
    <w:rsid w:val="0082651D"/>
    <w:rsid w:val="00827D62"/>
    <w:rsid w:val="00832605"/>
    <w:rsid w:val="008337F8"/>
    <w:rsid w:val="00846AB5"/>
    <w:rsid w:val="008474C1"/>
    <w:rsid w:val="00851132"/>
    <w:rsid w:val="00855103"/>
    <w:rsid w:val="008573A7"/>
    <w:rsid w:val="00857925"/>
    <w:rsid w:val="00860592"/>
    <w:rsid w:val="008610ED"/>
    <w:rsid w:val="00861276"/>
    <w:rsid w:val="0086273C"/>
    <w:rsid w:val="0086275D"/>
    <w:rsid w:val="00863313"/>
    <w:rsid w:val="0086510C"/>
    <w:rsid w:val="008667F8"/>
    <w:rsid w:val="00867F22"/>
    <w:rsid w:val="0087340B"/>
    <w:rsid w:val="008735CA"/>
    <w:rsid w:val="00874B90"/>
    <w:rsid w:val="00874DE2"/>
    <w:rsid w:val="00875AB8"/>
    <w:rsid w:val="00876414"/>
    <w:rsid w:val="0088038E"/>
    <w:rsid w:val="00880F86"/>
    <w:rsid w:val="00882671"/>
    <w:rsid w:val="008905C4"/>
    <w:rsid w:val="00891726"/>
    <w:rsid w:val="00895693"/>
    <w:rsid w:val="00897CCC"/>
    <w:rsid w:val="008A120B"/>
    <w:rsid w:val="008B3CCC"/>
    <w:rsid w:val="008B5609"/>
    <w:rsid w:val="008B7CCF"/>
    <w:rsid w:val="008C23B2"/>
    <w:rsid w:val="008C7AD7"/>
    <w:rsid w:val="008D0488"/>
    <w:rsid w:val="008D0C08"/>
    <w:rsid w:val="008D0C83"/>
    <w:rsid w:val="008D0D6D"/>
    <w:rsid w:val="008D0E75"/>
    <w:rsid w:val="008D1C50"/>
    <w:rsid w:val="008D278F"/>
    <w:rsid w:val="008D2A5A"/>
    <w:rsid w:val="008D3346"/>
    <w:rsid w:val="008D3B93"/>
    <w:rsid w:val="008D4128"/>
    <w:rsid w:val="008D4464"/>
    <w:rsid w:val="008D4A1A"/>
    <w:rsid w:val="008D4C98"/>
    <w:rsid w:val="008D5F7D"/>
    <w:rsid w:val="008E0485"/>
    <w:rsid w:val="008E0C08"/>
    <w:rsid w:val="008E2EB4"/>
    <w:rsid w:val="008E4554"/>
    <w:rsid w:val="008E5CA4"/>
    <w:rsid w:val="008F323B"/>
    <w:rsid w:val="008F4D8E"/>
    <w:rsid w:val="008F4F4B"/>
    <w:rsid w:val="008F5BF4"/>
    <w:rsid w:val="008F7523"/>
    <w:rsid w:val="00905D68"/>
    <w:rsid w:val="00907E00"/>
    <w:rsid w:val="009117E3"/>
    <w:rsid w:val="00916144"/>
    <w:rsid w:val="00920186"/>
    <w:rsid w:val="00921822"/>
    <w:rsid w:val="00921F9C"/>
    <w:rsid w:val="00922597"/>
    <w:rsid w:val="0092583C"/>
    <w:rsid w:val="00935046"/>
    <w:rsid w:val="009377AE"/>
    <w:rsid w:val="00940188"/>
    <w:rsid w:val="00941871"/>
    <w:rsid w:val="00942B69"/>
    <w:rsid w:val="00944ED0"/>
    <w:rsid w:val="00945055"/>
    <w:rsid w:val="00954BC3"/>
    <w:rsid w:val="00956C04"/>
    <w:rsid w:val="00957EF1"/>
    <w:rsid w:val="00966524"/>
    <w:rsid w:val="0096695D"/>
    <w:rsid w:val="00973F1F"/>
    <w:rsid w:val="009741ED"/>
    <w:rsid w:val="00974573"/>
    <w:rsid w:val="00974C34"/>
    <w:rsid w:val="00975542"/>
    <w:rsid w:val="00976833"/>
    <w:rsid w:val="00977B3F"/>
    <w:rsid w:val="00980935"/>
    <w:rsid w:val="00981F00"/>
    <w:rsid w:val="009826BB"/>
    <w:rsid w:val="009860F8"/>
    <w:rsid w:val="00986CF7"/>
    <w:rsid w:val="00986F11"/>
    <w:rsid w:val="009938B2"/>
    <w:rsid w:val="00993AEA"/>
    <w:rsid w:val="00993B8A"/>
    <w:rsid w:val="009949FF"/>
    <w:rsid w:val="00996829"/>
    <w:rsid w:val="00996908"/>
    <w:rsid w:val="009975DC"/>
    <w:rsid w:val="009A0919"/>
    <w:rsid w:val="009A1992"/>
    <w:rsid w:val="009A2E8C"/>
    <w:rsid w:val="009A357E"/>
    <w:rsid w:val="009A39C0"/>
    <w:rsid w:val="009A3BAB"/>
    <w:rsid w:val="009A41D1"/>
    <w:rsid w:val="009B44EF"/>
    <w:rsid w:val="009B6AF2"/>
    <w:rsid w:val="009B6D36"/>
    <w:rsid w:val="009B7486"/>
    <w:rsid w:val="009C0329"/>
    <w:rsid w:val="009C694F"/>
    <w:rsid w:val="009D1011"/>
    <w:rsid w:val="009D1F79"/>
    <w:rsid w:val="009D38E5"/>
    <w:rsid w:val="009D50DB"/>
    <w:rsid w:val="009D5272"/>
    <w:rsid w:val="009D5640"/>
    <w:rsid w:val="009D5CF3"/>
    <w:rsid w:val="009D6C73"/>
    <w:rsid w:val="009D7C8E"/>
    <w:rsid w:val="009E21D3"/>
    <w:rsid w:val="009E2F58"/>
    <w:rsid w:val="009E391A"/>
    <w:rsid w:val="009E6807"/>
    <w:rsid w:val="009F1ED1"/>
    <w:rsid w:val="009F3FD4"/>
    <w:rsid w:val="009F49B1"/>
    <w:rsid w:val="00A00F54"/>
    <w:rsid w:val="00A01B28"/>
    <w:rsid w:val="00A04687"/>
    <w:rsid w:val="00A04EC2"/>
    <w:rsid w:val="00A0676B"/>
    <w:rsid w:val="00A075E5"/>
    <w:rsid w:val="00A077BC"/>
    <w:rsid w:val="00A112D5"/>
    <w:rsid w:val="00A1228F"/>
    <w:rsid w:val="00A12475"/>
    <w:rsid w:val="00A12CF9"/>
    <w:rsid w:val="00A13575"/>
    <w:rsid w:val="00A14A05"/>
    <w:rsid w:val="00A15B87"/>
    <w:rsid w:val="00A21128"/>
    <w:rsid w:val="00A22F78"/>
    <w:rsid w:val="00A24625"/>
    <w:rsid w:val="00A271F4"/>
    <w:rsid w:val="00A32A77"/>
    <w:rsid w:val="00A343C6"/>
    <w:rsid w:val="00A36BB9"/>
    <w:rsid w:val="00A3703D"/>
    <w:rsid w:val="00A425F2"/>
    <w:rsid w:val="00A43243"/>
    <w:rsid w:val="00A43B8A"/>
    <w:rsid w:val="00A46BCF"/>
    <w:rsid w:val="00A472A2"/>
    <w:rsid w:val="00A507F1"/>
    <w:rsid w:val="00A51DA2"/>
    <w:rsid w:val="00A52491"/>
    <w:rsid w:val="00A53F4C"/>
    <w:rsid w:val="00A551E8"/>
    <w:rsid w:val="00A5645B"/>
    <w:rsid w:val="00A56D81"/>
    <w:rsid w:val="00A6060A"/>
    <w:rsid w:val="00A65722"/>
    <w:rsid w:val="00A71427"/>
    <w:rsid w:val="00A74A40"/>
    <w:rsid w:val="00A75F85"/>
    <w:rsid w:val="00A7601D"/>
    <w:rsid w:val="00A77C2A"/>
    <w:rsid w:val="00A81862"/>
    <w:rsid w:val="00A86C9C"/>
    <w:rsid w:val="00A909E1"/>
    <w:rsid w:val="00A9118C"/>
    <w:rsid w:val="00A9372A"/>
    <w:rsid w:val="00A94C76"/>
    <w:rsid w:val="00A96D09"/>
    <w:rsid w:val="00AA0B47"/>
    <w:rsid w:val="00AA23F5"/>
    <w:rsid w:val="00AA32F4"/>
    <w:rsid w:val="00AA6A4D"/>
    <w:rsid w:val="00AA6E19"/>
    <w:rsid w:val="00AB0671"/>
    <w:rsid w:val="00AB1305"/>
    <w:rsid w:val="00AB1D2F"/>
    <w:rsid w:val="00AB3902"/>
    <w:rsid w:val="00AB49E1"/>
    <w:rsid w:val="00AB5B78"/>
    <w:rsid w:val="00AB6080"/>
    <w:rsid w:val="00AB75AC"/>
    <w:rsid w:val="00AC17CC"/>
    <w:rsid w:val="00AC27A2"/>
    <w:rsid w:val="00AC3FFD"/>
    <w:rsid w:val="00AC4342"/>
    <w:rsid w:val="00AC4946"/>
    <w:rsid w:val="00AC7E13"/>
    <w:rsid w:val="00AD0725"/>
    <w:rsid w:val="00AD2A9F"/>
    <w:rsid w:val="00AD2AD9"/>
    <w:rsid w:val="00AD4722"/>
    <w:rsid w:val="00AD58EC"/>
    <w:rsid w:val="00AE005F"/>
    <w:rsid w:val="00AE1CD1"/>
    <w:rsid w:val="00AE56FD"/>
    <w:rsid w:val="00AE60F8"/>
    <w:rsid w:val="00AE6A52"/>
    <w:rsid w:val="00AE7AB9"/>
    <w:rsid w:val="00AE7DF1"/>
    <w:rsid w:val="00AF2B70"/>
    <w:rsid w:val="00AF31D4"/>
    <w:rsid w:val="00AF352C"/>
    <w:rsid w:val="00AF6D96"/>
    <w:rsid w:val="00AF75D3"/>
    <w:rsid w:val="00B003FB"/>
    <w:rsid w:val="00B0359A"/>
    <w:rsid w:val="00B05274"/>
    <w:rsid w:val="00B06842"/>
    <w:rsid w:val="00B06ECC"/>
    <w:rsid w:val="00B1163C"/>
    <w:rsid w:val="00B14E84"/>
    <w:rsid w:val="00B1549A"/>
    <w:rsid w:val="00B15CC2"/>
    <w:rsid w:val="00B17C46"/>
    <w:rsid w:val="00B208F4"/>
    <w:rsid w:val="00B20C1B"/>
    <w:rsid w:val="00B239BC"/>
    <w:rsid w:val="00B23A18"/>
    <w:rsid w:val="00B247B3"/>
    <w:rsid w:val="00B27423"/>
    <w:rsid w:val="00B3057F"/>
    <w:rsid w:val="00B308EF"/>
    <w:rsid w:val="00B33020"/>
    <w:rsid w:val="00B3322A"/>
    <w:rsid w:val="00B34F3A"/>
    <w:rsid w:val="00B353C6"/>
    <w:rsid w:val="00B3556E"/>
    <w:rsid w:val="00B35F94"/>
    <w:rsid w:val="00B4020C"/>
    <w:rsid w:val="00B40CB7"/>
    <w:rsid w:val="00B42210"/>
    <w:rsid w:val="00B42483"/>
    <w:rsid w:val="00B46845"/>
    <w:rsid w:val="00B46BD6"/>
    <w:rsid w:val="00B4774E"/>
    <w:rsid w:val="00B516AE"/>
    <w:rsid w:val="00B51FF0"/>
    <w:rsid w:val="00B539BE"/>
    <w:rsid w:val="00B545C5"/>
    <w:rsid w:val="00B5622C"/>
    <w:rsid w:val="00B5680B"/>
    <w:rsid w:val="00B57EB2"/>
    <w:rsid w:val="00B60A26"/>
    <w:rsid w:val="00B61C37"/>
    <w:rsid w:val="00B63228"/>
    <w:rsid w:val="00B635B7"/>
    <w:rsid w:val="00B64198"/>
    <w:rsid w:val="00B6593F"/>
    <w:rsid w:val="00B65C8C"/>
    <w:rsid w:val="00B70AB8"/>
    <w:rsid w:val="00B752C6"/>
    <w:rsid w:val="00B7563C"/>
    <w:rsid w:val="00B773A9"/>
    <w:rsid w:val="00B776C3"/>
    <w:rsid w:val="00B805DC"/>
    <w:rsid w:val="00B80A65"/>
    <w:rsid w:val="00B83D62"/>
    <w:rsid w:val="00B85BFF"/>
    <w:rsid w:val="00B861B0"/>
    <w:rsid w:val="00B90445"/>
    <w:rsid w:val="00B91D6E"/>
    <w:rsid w:val="00B9323F"/>
    <w:rsid w:val="00B94C65"/>
    <w:rsid w:val="00B96F65"/>
    <w:rsid w:val="00B97813"/>
    <w:rsid w:val="00B97C7F"/>
    <w:rsid w:val="00BA1EB2"/>
    <w:rsid w:val="00BA233E"/>
    <w:rsid w:val="00BA247F"/>
    <w:rsid w:val="00BA4619"/>
    <w:rsid w:val="00BA5EA8"/>
    <w:rsid w:val="00BA60F5"/>
    <w:rsid w:val="00BB220C"/>
    <w:rsid w:val="00BB2240"/>
    <w:rsid w:val="00BB57FA"/>
    <w:rsid w:val="00BC04A9"/>
    <w:rsid w:val="00BC3251"/>
    <w:rsid w:val="00BC5D95"/>
    <w:rsid w:val="00BD39A0"/>
    <w:rsid w:val="00BD69DC"/>
    <w:rsid w:val="00BF0662"/>
    <w:rsid w:val="00BF69B9"/>
    <w:rsid w:val="00C023D6"/>
    <w:rsid w:val="00C036E6"/>
    <w:rsid w:val="00C03D07"/>
    <w:rsid w:val="00C06B04"/>
    <w:rsid w:val="00C07222"/>
    <w:rsid w:val="00C10EB7"/>
    <w:rsid w:val="00C111AA"/>
    <w:rsid w:val="00C20BEF"/>
    <w:rsid w:val="00C20CEF"/>
    <w:rsid w:val="00C21440"/>
    <w:rsid w:val="00C21649"/>
    <w:rsid w:val="00C21B30"/>
    <w:rsid w:val="00C23820"/>
    <w:rsid w:val="00C27E21"/>
    <w:rsid w:val="00C30B0C"/>
    <w:rsid w:val="00C314AA"/>
    <w:rsid w:val="00C336CB"/>
    <w:rsid w:val="00C3691B"/>
    <w:rsid w:val="00C37791"/>
    <w:rsid w:val="00C37B19"/>
    <w:rsid w:val="00C40A10"/>
    <w:rsid w:val="00C42446"/>
    <w:rsid w:val="00C44A3E"/>
    <w:rsid w:val="00C47716"/>
    <w:rsid w:val="00C500F0"/>
    <w:rsid w:val="00C52F44"/>
    <w:rsid w:val="00C565B0"/>
    <w:rsid w:val="00C57559"/>
    <w:rsid w:val="00C57847"/>
    <w:rsid w:val="00C622EA"/>
    <w:rsid w:val="00C629C6"/>
    <w:rsid w:val="00C638E7"/>
    <w:rsid w:val="00C718F1"/>
    <w:rsid w:val="00C737B0"/>
    <w:rsid w:val="00C73860"/>
    <w:rsid w:val="00C738F7"/>
    <w:rsid w:val="00C7645B"/>
    <w:rsid w:val="00C8130C"/>
    <w:rsid w:val="00C83FC5"/>
    <w:rsid w:val="00C84CA9"/>
    <w:rsid w:val="00C9144B"/>
    <w:rsid w:val="00C9247D"/>
    <w:rsid w:val="00C93077"/>
    <w:rsid w:val="00C93375"/>
    <w:rsid w:val="00C968CC"/>
    <w:rsid w:val="00C96975"/>
    <w:rsid w:val="00C97E67"/>
    <w:rsid w:val="00CA0928"/>
    <w:rsid w:val="00CA1208"/>
    <w:rsid w:val="00CA15FC"/>
    <w:rsid w:val="00CB0215"/>
    <w:rsid w:val="00CB0787"/>
    <w:rsid w:val="00CB0C7B"/>
    <w:rsid w:val="00CB0C95"/>
    <w:rsid w:val="00CB1EA5"/>
    <w:rsid w:val="00CB3A42"/>
    <w:rsid w:val="00CB69FE"/>
    <w:rsid w:val="00CC020D"/>
    <w:rsid w:val="00CC085A"/>
    <w:rsid w:val="00CC1615"/>
    <w:rsid w:val="00CC481A"/>
    <w:rsid w:val="00CC50CD"/>
    <w:rsid w:val="00CD2ACA"/>
    <w:rsid w:val="00CD380D"/>
    <w:rsid w:val="00CD4408"/>
    <w:rsid w:val="00CE52A2"/>
    <w:rsid w:val="00CE556B"/>
    <w:rsid w:val="00CF0B4E"/>
    <w:rsid w:val="00CF0C41"/>
    <w:rsid w:val="00CF1776"/>
    <w:rsid w:val="00CF1D3A"/>
    <w:rsid w:val="00CF7438"/>
    <w:rsid w:val="00CF76DE"/>
    <w:rsid w:val="00CF791C"/>
    <w:rsid w:val="00D00152"/>
    <w:rsid w:val="00D04F04"/>
    <w:rsid w:val="00D063CB"/>
    <w:rsid w:val="00D072EA"/>
    <w:rsid w:val="00D1138E"/>
    <w:rsid w:val="00D12158"/>
    <w:rsid w:val="00D12EF3"/>
    <w:rsid w:val="00D174F1"/>
    <w:rsid w:val="00D17752"/>
    <w:rsid w:val="00D20E33"/>
    <w:rsid w:val="00D20EF9"/>
    <w:rsid w:val="00D21FD4"/>
    <w:rsid w:val="00D23C58"/>
    <w:rsid w:val="00D271FF"/>
    <w:rsid w:val="00D278DB"/>
    <w:rsid w:val="00D3188D"/>
    <w:rsid w:val="00D325B5"/>
    <w:rsid w:val="00D3367A"/>
    <w:rsid w:val="00D41071"/>
    <w:rsid w:val="00D416D6"/>
    <w:rsid w:val="00D41A0E"/>
    <w:rsid w:val="00D515DD"/>
    <w:rsid w:val="00D51BF4"/>
    <w:rsid w:val="00D523C7"/>
    <w:rsid w:val="00D52755"/>
    <w:rsid w:val="00D53715"/>
    <w:rsid w:val="00D55190"/>
    <w:rsid w:val="00D55CA3"/>
    <w:rsid w:val="00D56876"/>
    <w:rsid w:val="00D60114"/>
    <w:rsid w:val="00D61A87"/>
    <w:rsid w:val="00D6348A"/>
    <w:rsid w:val="00D650E8"/>
    <w:rsid w:val="00D65187"/>
    <w:rsid w:val="00D6717F"/>
    <w:rsid w:val="00D675B8"/>
    <w:rsid w:val="00D73D74"/>
    <w:rsid w:val="00D7430E"/>
    <w:rsid w:val="00D7573D"/>
    <w:rsid w:val="00D815D1"/>
    <w:rsid w:val="00D83014"/>
    <w:rsid w:val="00D835F4"/>
    <w:rsid w:val="00D84155"/>
    <w:rsid w:val="00D93095"/>
    <w:rsid w:val="00DA0464"/>
    <w:rsid w:val="00DA1178"/>
    <w:rsid w:val="00DA1993"/>
    <w:rsid w:val="00DA1E5D"/>
    <w:rsid w:val="00DA29FC"/>
    <w:rsid w:val="00DA34EE"/>
    <w:rsid w:val="00DA38A1"/>
    <w:rsid w:val="00DA3DAD"/>
    <w:rsid w:val="00DA4602"/>
    <w:rsid w:val="00DA59FB"/>
    <w:rsid w:val="00DA7421"/>
    <w:rsid w:val="00DA76A7"/>
    <w:rsid w:val="00DA76DC"/>
    <w:rsid w:val="00DA7BC3"/>
    <w:rsid w:val="00DB08AD"/>
    <w:rsid w:val="00DB1696"/>
    <w:rsid w:val="00DB3DDC"/>
    <w:rsid w:val="00DB4482"/>
    <w:rsid w:val="00DB47B7"/>
    <w:rsid w:val="00DB69A6"/>
    <w:rsid w:val="00DC0B93"/>
    <w:rsid w:val="00DC15B0"/>
    <w:rsid w:val="00DC2896"/>
    <w:rsid w:val="00DC5EB7"/>
    <w:rsid w:val="00DC61FC"/>
    <w:rsid w:val="00DC7898"/>
    <w:rsid w:val="00DD1025"/>
    <w:rsid w:val="00DD4133"/>
    <w:rsid w:val="00DD67D9"/>
    <w:rsid w:val="00DE1B61"/>
    <w:rsid w:val="00DE405D"/>
    <w:rsid w:val="00DE5A91"/>
    <w:rsid w:val="00DE6535"/>
    <w:rsid w:val="00DE7E9D"/>
    <w:rsid w:val="00DF0F22"/>
    <w:rsid w:val="00DF37B9"/>
    <w:rsid w:val="00DF47C3"/>
    <w:rsid w:val="00DF6C3D"/>
    <w:rsid w:val="00E022D0"/>
    <w:rsid w:val="00E06EB2"/>
    <w:rsid w:val="00E103C1"/>
    <w:rsid w:val="00E122D3"/>
    <w:rsid w:val="00E134A8"/>
    <w:rsid w:val="00E1618F"/>
    <w:rsid w:val="00E172A3"/>
    <w:rsid w:val="00E20251"/>
    <w:rsid w:val="00E202CC"/>
    <w:rsid w:val="00E208DD"/>
    <w:rsid w:val="00E22E31"/>
    <w:rsid w:val="00E23C1A"/>
    <w:rsid w:val="00E24479"/>
    <w:rsid w:val="00E25D7C"/>
    <w:rsid w:val="00E25D84"/>
    <w:rsid w:val="00E301CE"/>
    <w:rsid w:val="00E339F4"/>
    <w:rsid w:val="00E3428C"/>
    <w:rsid w:val="00E353B2"/>
    <w:rsid w:val="00E37033"/>
    <w:rsid w:val="00E41BC0"/>
    <w:rsid w:val="00E43701"/>
    <w:rsid w:val="00E44E9E"/>
    <w:rsid w:val="00E46463"/>
    <w:rsid w:val="00E47EA5"/>
    <w:rsid w:val="00E513EA"/>
    <w:rsid w:val="00E519DC"/>
    <w:rsid w:val="00E52EEE"/>
    <w:rsid w:val="00E54640"/>
    <w:rsid w:val="00E54E69"/>
    <w:rsid w:val="00E64DD5"/>
    <w:rsid w:val="00E65656"/>
    <w:rsid w:val="00E65909"/>
    <w:rsid w:val="00E67942"/>
    <w:rsid w:val="00E67D8D"/>
    <w:rsid w:val="00E738B5"/>
    <w:rsid w:val="00E74E2D"/>
    <w:rsid w:val="00E74EF7"/>
    <w:rsid w:val="00E80AEC"/>
    <w:rsid w:val="00E9114A"/>
    <w:rsid w:val="00E91E72"/>
    <w:rsid w:val="00E9271B"/>
    <w:rsid w:val="00E933B8"/>
    <w:rsid w:val="00E945A6"/>
    <w:rsid w:val="00EA1740"/>
    <w:rsid w:val="00EA295D"/>
    <w:rsid w:val="00EA2F5A"/>
    <w:rsid w:val="00EA3CFD"/>
    <w:rsid w:val="00EA48C9"/>
    <w:rsid w:val="00EA6E27"/>
    <w:rsid w:val="00EB002C"/>
    <w:rsid w:val="00EB1C4F"/>
    <w:rsid w:val="00EB20AB"/>
    <w:rsid w:val="00EB3647"/>
    <w:rsid w:val="00EB57E5"/>
    <w:rsid w:val="00EB6B58"/>
    <w:rsid w:val="00EC0F5B"/>
    <w:rsid w:val="00EC31EA"/>
    <w:rsid w:val="00EC41C4"/>
    <w:rsid w:val="00EC5A06"/>
    <w:rsid w:val="00EC7F30"/>
    <w:rsid w:val="00ED40B5"/>
    <w:rsid w:val="00ED61AF"/>
    <w:rsid w:val="00ED6A40"/>
    <w:rsid w:val="00ED73B4"/>
    <w:rsid w:val="00EE0C55"/>
    <w:rsid w:val="00EE0D88"/>
    <w:rsid w:val="00EE0DF5"/>
    <w:rsid w:val="00EE1702"/>
    <w:rsid w:val="00EE1838"/>
    <w:rsid w:val="00EE53CD"/>
    <w:rsid w:val="00EE63B0"/>
    <w:rsid w:val="00EE68EC"/>
    <w:rsid w:val="00EF01AB"/>
    <w:rsid w:val="00EF0872"/>
    <w:rsid w:val="00F003B1"/>
    <w:rsid w:val="00F011B7"/>
    <w:rsid w:val="00F02C5A"/>
    <w:rsid w:val="00F030BB"/>
    <w:rsid w:val="00F07DBE"/>
    <w:rsid w:val="00F20228"/>
    <w:rsid w:val="00F22F64"/>
    <w:rsid w:val="00F24D91"/>
    <w:rsid w:val="00F24F4D"/>
    <w:rsid w:val="00F2578E"/>
    <w:rsid w:val="00F259DA"/>
    <w:rsid w:val="00F26101"/>
    <w:rsid w:val="00F264F5"/>
    <w:rsid w:val="00F273B5"/>
    <w:rsid w:val="00F3155C"/>
    <w:rsid w:val="00F31FD4"/>
    <w:rsid w:val="00F35A92"/>
    <w:rsid w:val="00F41459"/>
    <w:rsid w:val="00F41682"/>
    <w:rsid w:val="00F42406"/>
    <w:rsid w:val="00F44EBC"/>
    <w:rsid w:val="00F50108"/>
    <w:rsid w:val="00F5055B"/>
    <w:rsid w:val="00F51171"/>
    <w:rsid w:val="00F5151D"/>
    <w:rsid w:val="00F549EC"/>
    <w:rsid w:val="00F55001"/>
    <w:rsid w:val="00F56EDC"/>
    <w:rsid w:val="00F60E6E"/>
    <w:rsid w:val="00F64768"/>
    <w:rsid w:val="00F66F61"/>
    <w:rsid w:val="00F70D81"/>
    <w:rsid w:val="00F72A99"/>
    <w:rsid w:val="00F74A34"/>
    <w:rsid w:val="00F84565"/>
    <w:rsid w:val="00F8598F"/>
    <w:rsid w:val="00F94700"/>
    <w:rsid w:val="00F949D1"/>
    <w:rsid w:val="00F95354"/>
    <w:rsid w:val="00F95ABF"/>
    <w:rsid w:val="00F96C19"/>
    <w:rsid w:val="00F97576"/>
    <w:rsid w:val="00F97FA6"/>
    <w:rsid w:val="00FA171B"/>
    <w:rsid w:val="00FA2317"/>
    <w:rsid w:val="00FA3524"/>
    <w:rsid w:val="00FA3A3C"/>
    <w:rsid w:val="00FA4B98"/>
    <w:rsid w:val="00FA4EAF"/>
    <w:rsid w:val="00FA556E"/>
    <w:rsid w:val="00FA5A7E"/>
    <w:rsid w:val="00FB1AC4"/>
    <w:rsid w:val="00FB1D0F"/>
    <w:rsid w:val="00FB2F1F"/>
    <w:rsid w:val="00FB5891"/>
    <w:rsid w:val="00FB66C4"/>
    <w:rsid w:val="00FB784E"/>
    <w:rsid w:val="00FB7D2E"/>
    <w:rsid w:val="00FC48D0"/>
    <w:rsid w:val="00FC4AA6"/>
    <w:rsid w:val="00FC6054"/>
    <w:rsid w:val="00FC6A3B"/>
    <w:rsid w:val="00FC7544"/>
    <w:rsid w:val="00FD036B"/>
    <w:rsid w:val="00FD077A"/>
    <w:rsid w:val="00FD12AC"/>
    <w:rsid w:val="00FD1494"/>
    <w:rsid w:val="00FD3E46"/>
    <w:rsid w:val="00FD4F00"/>
    <w:rsid w:val="00FD7D53"/>
    <w:rsid w:val="00FE09DB"/>
    <w:rsid w:val="00FF0DCF"/>
    <w:rsid w:val="00FF18F3"/>
    <w:rsid w:val="00FF34F0"/>
    <w:rsid w:val="00FF4503"/>
    <w:rsid w:val="00FF45B2"/>
    <w:rsid w:val="00FF5AAA"/>
    <w:rsid w:val="00FF7C6E"/>
    <w:rsid w:val="00FF7D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A45"/>
    <w:rPr>
      <w:sz w:val="24"/>
    </w:rPr>
  </w:style>
  <w:style w:type="paragraph" w:styleId="Heading1">
    <w:name w:val="heading 1"/>
    <w:basedOn w:val="Normal"/>
    <w:next w:val="Normal"/>
    <w:qFormat/>
    <w:rsid w:val="001F4A45"/>
    <w:pPr>
      <w:keepNext/>
      <w:outlineLvl w:val="0"/>
    </w:pPr>
    <w:rPr>
      <w:b/>
      <w:smallCaps/>
      <w:sz w:val="28"/>
    </w:rPr>
  </w:style>
  <w:style w:type="paragraph" w:styleId="Heading2">
    <w:name w:val="heading 2"/>
    <w:basedOn w:val="Normal"/>
    <w:next w:val="Normal"/>
    <w:qFormat/>
    <w:rsid w:val="001F4A45"/>
    <w:pPr>
      <w:keepNext/>
      <w:outlineLvl w:val="1"/>
    </w:pPr>
    <w:rPr>
      <w:b/>
    </w:rPr>
  </w:style>
  <w:style w:type="paragraph" w:styleId="Heading3">
    <w:name w:val="heading 3"/>
    <w:basedOn w:val="Normal"/>
    <w:next w:val="Normal"/>
    <w:qFormat/>
    <w:rsid w:val="001F4A45"/>
    <w:pPr>
      <w:keepNext/>
      <w:ind w:left="360"/>
      <w:outlineLvl w:val="2"/>
    </w:pPr>
    <w:rPr>
      <w:b/>
    </w:rPr>
  </w:style>
  <w:style w:type="paragraph" w:styleId="Heading4">
    <w:name w:val="heading 4"/>
    <w:basedOn w:val="Normal"/>
    <w:next w:val="Normal"/>
    <w:qFormat/>
    <w:rsid w:val="001F4A45"/>
    <w:pPr>
      <w:keepNext/>
      <w:pBdr>
        <w:bottom w:val="single" w:sz="4" w:space="1" w:color="auto"/>
      </w:pBdr>
      <w:jc w:val="right"/>
      <w:outlineLvl w:val="3"/>
    </w:pPr>
    <w:rPr>
      <w:b/>
      <w:smallCaps/>
      <w:sz w:val="28"/>
    </w:rPr>
  </w:style>
  <w:style w:type="paragraph" w:styleId="Heading5">
    <w:name w:val="heading 5"/>
    <w:basedOn w:val="Normal"/>
    <w:next w:val="Normal"/>
    <w:qFormat/>
    <w:rsid w:val="001F4A45"/>
    <w:pPr>
      <w:keepNext/>
      <w:jc w:val="center"/>
      <w:outlineLvl w:val="4"/>
    </w:pPr>
    <w:rPr>
      <w:b/>
      <w:smallCaps/>
      <w:sz w:val="28"/>
    </w:rPr>
  </w:style>
  <w:style w:type="paragraph" w:styleId="Heading6">
    <w:name w:val="heading 6"/>
    <w:basedOn w:val="Normal"/>
    <w:next w:val="Normal"/>
    <w:qFormat/>
    <w:rsid w:val="001F4A45"/>
    <w:pPr>
      <w:keepNext/>
      <w:jc w:val="center"/>
      <w:outlineLvl w:val="5"/>
    </w:pPr>
    <w:rPr>
      <w:b/>
      <w:smallCaps/>
    </w:rPr>
  </w:style>
  <w:style w:type="paragraph" w:styleId="Heading7">
    <w:name w:val="heading 7"/>
    <w:basedOn w:val="Normal"/>
    <w:next w:val="Normal"/>
    <w:qFormat/>
    <w:rsid w:val="001F4A45"/>
    <w:pPr>
      <w:keepNext/>
      <w:autoSpaceDE w:val="0"/>
      <w:autoSpaceDN w:val="0"/>
      <w:adjustRightInd w:val="0"/>
      <w:spacing w:after="120"/>
      <w:outlineLvl w:val="6"/>
    </w:pPr>
    <w:rPr>
      <w:b/>
      <w:color w:val="000000"/>
      <w:sz w:val="28"/>
    </w:rPr>
  </w:style>
  <w:style w:type="paragraph" w:styleId="Heading8">
    <w:name w:val="heading 8"/>
    <w:basedOn w:val="Normal"/>
    <w:next w:val="Normal"/>
    <w:qFormat/>
    <w:rsid w:val="001F4A45"/>
    <w:pPr>
      <w:keepNext/>
      <w:jc w:val="right"/>
      <w:outlineLvl w:val="7"/>
    </w:pPr>
    <w:rPr>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F4A45"/>
    <w:pPr>
      <w:ind w:left="1080" w:hanging="180"/>
    </w:pPr>
  </w:style>
  <w:style w:type="paragraph" w:styleId="BodyTextIndent2">
    <w:name w:val="Body Text Indent 2"/>
    <w:basedOn w:val="Normal"/>
    <w:rsid w:val="001F4A45"/>
    <w:pPr>
      <w:ind w:left="360"/>
    </w:pPr>
  </w:style>
  <w:style w:type="paragraph" w:styleId="BodyTextIndent3">
    <w:name w:val="Body Text Indent 3"/>
    <w:basedOn w:val="Normal"/>
    <w:rsid w:val="001F4A45"/>
    <w:pPr>
      <w:ind w:left="1080" w:hanging="270"/>
    </w:pPr>
  </w:style>
  <w:style w:type="paragraph" w:styleId="BodyText2">
    <w:name w:val="Body Text 2"/>
    <w:basedOn w:val="Normal"/>
    <w:rsid w:val="001F4A45"/>
    <w:rPr>
      <w:rFonts w:eastAsia="Times New Roman"/>
      <w:b/>
    </w:rPr>
  </w:style>
  <w:style w:type="paragraph" w:styleId="Header">
    <w:name w:val="header"/>
    <w:basedOn w:val="Normal"/>
    <w:rsid w:val="001F4A45"/>
    <w:pPr>
      <w:tabs>
        <w:tab w:val="center" w:pos="4320"/>
        <w:tab w:val="right" w:pos="8640"/>
      </w:tabs>
    </w:pPr>
    <w:rPr>
      <w:rFonts w:eastAsia="Times New Roman"/>
    </w:rPr>
  </w:style>
  <w:style w:type="paragraph" w:styleId="BlockText">
    <w:name w:val="Block Text"/>
    <w:basedOn w:val="Normal"/>
    <w:rsid w:val="001F4A45"/>
    <w:pPr>
      <w:tabs>
        <w:tab w:val="left" w:pos="1260"/>
      </w:tabs>
      <w:ind w:left="1080" w:right="-180" w:hanging="360"/>
    </w:pPr>
  </w:style>
  <w:style w:type="paragraph" w:styleId="Footer">
    <w:name w:val="footer"/>
    <w:basedOn w:val="Normal"/>
    <w:rsid w:val="001F4A45"/>
    <w:pPr>
      <w:tabs>
        <w:tab w:val="center" w:pos="4320"/>
        <w:tab w:val="right" w:pos="8640"/>
      </w:tabs>
    </w:pPr>
  </w:style>
  <w:style w:type="character" w:styleId="PageNumber">
    <w:name w:val="page number"/>
    <w:basedOn w:val="DefaultParagraphFont"/>
    <w:rsid w:val="001F4A45"/>
  </w:style>
  <w:style w:type="paragraph" w:styleId="FootnoteText">
    <w:name w:val="footnote text"/>
    <w:basedOn w:val="Normal"/>
    <w:semiHidden/>
    <w:rsid w:val="001F4A45"/>
    <w:rPr>
      <w:sz w:val="20"/>
    </w:rPr>
  </w:style>
  <w:style w:type="character" w:styleId="FootnoteReference">
    <w:name w:val="footnote reference"/>
    <w:basedOn w:val="DefaultParagraphFont"/>
    <w:semiHidden/>
    <w:rsid w:val="001F4A45"/>
    <w:rPr>
      <w:vertAlign w:val="superscript"/>
    </w:rPr>
  </w:style>
  <w:style w:type="character" w:styleId="Hyperlink">
    <w:name w:val="Hyperlink"/>
    <w:basedOn w:val="DefaultParagraphFont"/>
    <w:rsid w:val="001F4A45"/>
    <w:rPr>
      <w:color w:val="0000FF"/>
      <w:u w:val="single"/>
    </w:rPr>
  </w:style>
  <w:style w:type="paragraph" w:styleId="BalloonText">
    <w:name w:val="Balloon Text"/>
    <w:basedOn w:val="Normal"/>
    <w:semiHidden/>
    <w:rsid w:val="001F4A45"/>
    <w:rPr>
      <w:rFonts w:ascii="Tahoma" w:hAnsi="Tahoma" w:cs="Tahoma"/>
      <w:sz w:val="16"/>
      <w:szCs w:val="16"/>
    </w:rPr>
  </w:style>
  <w:style w:type="paragraph" w:styleId="BodyText">
    <w:name w:val="Body Text"/>
    <w:basedOn w:val="Normal"/>
    <w:rsid w:val="001F4A45"/>
    <w:pPr>
      <w:spacing w:after="120"/>
    </w:pPr>
  </w:style>
  <w:style w:type="paragraph" w:customStyle="1" w:styleId="Default">
    <w:name w:val="Default"/>
    <w:rsid w:val="00491A8D"/>
    <w:pPr>
      <w:autoSpaceDE w:val="0"/>
      <w:autoSpaceDN w:val="0"/>
      <w:adjustRightInd w:val="0"/>
    </w:pPr>
    <w:rPr>
      <w:rFonts w:ascii="Frutiger 47LightCn" w:hAnsi="Frutiger 47LightCn" w:cs="Frutiger 47LightCn"/>
      <w:color w:val="000000"/>
      <w:sz w:val="24"/>
      <w:szCs w:val="24"/>
    </w:rPr>
  </w:style>
  <w:style w:type="paragraph" w:customStyle="1" w:styleId="Pa1">
    <w:name w:val="Pa1"/>
    <w:basedOn w:val="Default"/>
    <w:next w:val="Default"/>
    <w:uiPriority w:val="99"/>
    <w:rsid w:val="00491A8D"/>
    <w:pPr>
      <w:spacing w:line="241" w:lineRule="atLeast"/>
    </w:pPr>
    <w:rPr>
      <w:rFonts w:cs="Times New Roman"/>
      <w:color w:val="auto"/>
    </w:rPr>
  </w:style>
  <w:style w:type="character" w:customStyle="1" w:styleId="A3">
    <w:name w:val="A3"/>
    <w:uiPriority w:val="99"/>
    <w:rsid w:val="00491A8D"/>
    <w:rPr>
      <w:rFonts w:cs="Frutiger 47LightCn"/>
      <w:color w:val="221E1F"/>
      <w:sz w:val="26"/>
      <w:szCs w:val="26"/>
    </w:rPr>
  </w:style>
  <w:style w:type="character" w:customStyle="1" w:styleId="A4">
    <w:name w:val="A4"/>
    <w:uiPriority w:val="99"/>
    <w:rsid w:val="00491A8D"/>
    <w:rPr>
      <w:rFonts w:cs="Frutiger 47LightCn"/>
      <w:color w:val="221E1F"/>
      <w:sz w:val="15"/>
      <w:szCs w:val="15"/>
    </w:rPr>
  </w:style>
  <w:style w:type="paragraph" w:styleId="ListParagraph">
    <w:name w:val="List Paragraph"/>
    <w:basedOn w:val="Normal"/>
    <w:uiPriority w:val="34"/>
    <w:qFormat/>
    <w:rsid w:val="00E933B8"/>
    <w:pPr>
      <w:ind w:left="720"/>
    </w:pPr>
  </w:style>
  <w:style w:type="paragraph" w:styleId="EndnoteText">
    <w:name w:val="endnote text"/>
    <w:basedOn w:val="Normal"/>
    <w:link w:val="EndnoteTextChar"/>
    <w:uiPriority w:val="99"/>
    <w:unhideWhenUsed/>
    <w:rsid w:val="00D325B5"/>
    <w:rPr>
      <w:sz w:val="20"/>
    </w:rPr>
  </w:style>
  <w:style w:type="character" w:customStyle="1" w:styleId="EndnoteTextChar">
    <w:name w:val="Endnote Text Char"/>
    <w:basedOn w:val="DefaultParagraphFont"/>
    <w:link w:val="EndnoteText"/>
    <w:uiPriority w:val="99"/>
    <w:rsid w:val="00D325B5"/>
  </w:style>
  <w:style w:type="character" w:styleId="EndnoteReference">
    <w:name w:val="endnote reference"/>
    <w:basedOn w:val="DefaultParagraphFont"/>
    <w:uiPriority w:val="99"/>
    <w:semiHidden/>
    <w:unhideWhenUsed/>
    <w:rsid w:val="00D325B5"/>
    <w:rPr>
      <w:vertAlign w:val="superscript"/>
    </w:rPr>
  </w:style>
  <w:style w:type="character" w:styleId="FollowedHyperlink">
    <w:name w:val="FollowedHyperlink"/>
    <w:basedOn w:val="DefaultParagraphFont"/>
    <w:uiPriority w:val="99"/>
    <w:semiHidden/>
    <w:unhideWhenUsed/>
    <w:rsid w:val="00D325B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71493946">
      <w:bodyDiv w:val="1"/>
      <w:marLeft w:val="0"/>
      <w:marRight w:val="0"/>
      <w:marTop w:val="0"/>
      <w:marBottom w:val="0"/>
      <w:divBdr>
        <w:top w:val="none" w:sz="0" w:space="0" w:color="auto"/>
        <w:left w:val="none" w:sz="0" w:space="0" w:color="auto"/>
        <w:bottom w:val="none" w:sz="0" w:space="0" w:color="auto"/>
        <w:right w:val="none" w:sz="0" w:space="0" w:color="auto"/>
      </w:divBdr>
    </w:div>
    <w:div w:id="742290694">
      <w:bodyDiv w:val="1"/>
      <w:marLeft w:val="0"/>
      <w:marRight w:val="0"/>
      <w:marTop w:val="0"/>
      <w:marBottom w:val="0"/>
      <w:divBdr>
        <w:top w:val="none" w:sz="0" w:space="0" w:color="auto"/>
        <w:left w:val="none" w:sz="0" w:space="0" w:color="auto"/>
        <w:bottom w:val="none" w:sz="0" w:space="0" w:color="auto"/>
        <w:right w:val="none" w:sz="0" w:space="0" w:color="auto"/>
      </w:divBdr>
    </w:div>
    <w:div w:id="1434858380">
      <w:bodyDiv w:val="1"/>
      <w:marLeft w:val="0"/>
      <w:marRight w:val="0"/>
      <w:marTop w:val="0"/>
      <w:marBottom w:val="0"/>
      <w:divBdr>
        <w:top w:val="none" w:sz="0" w:space="0" w:color="auto"/>
        <w:left w:val="none" w:sz="0" w:space="0" w:color="auto"/>
        <w:bottom w:val="none" w:sz="0" w:space="0" w:color="auto"/>
        <w:right w:val="none" w:sz="0" w:space="0" w:color="auto"/>
      </w:divBdr>
    </w:div>
    <w:div w:id="1535729090">
      <w:bodyDiv w:val="1"/>
      <w:marLeft w:val="0"/>
      <w:marRight w:val="0"/>
      <w:marTop w:val="0"/>
      <w:marBottom w:val="0"/>
      <w:divBdr>
        <w:top w:val="none" w:sz="0" w:space="0" w:color="auto"/>
        <w:left w:val="none" w:sz="0" w:space="0" w:color="auto"/>
        <w:bottom w:val="none" w:sz="0" w:space="0" w:color="auto"/>
        <w:right w:val="none" w:sz="0" w:space="0" w:color="auto"/>
      </w:divBdr>
    </w:div>
    <w:div w:id="1553618493">
      <w:bodyDiv w:val="1"/>
      <w:marLeft w:val="0"/>
      <w:marRight w:val="0"/>
      <w:marTop w:val="0"/>
      <w:marBottom w:val="0"/>
      <w:divBdr>
        <w:top w:val="none" w:sz="0" w:space="0" w:color="auto"/>
        <w:left w:val="none" w:sz="0" w:space="0" w:color="auto"/>
        <w:bottom w:val="none" w:sz="0" w:space="0" w:color="auto"/>
        <w:right w:val="none" w:sz="0" w:space="0" w:color="auto"/>
      </w:divBdr>
    </w:div>
    <w:div w:id="178527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emf"/><Relationship Id="rId26"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emf"/><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emf"/><Relationship Id="rId31" Type="http://schemas.openxmlformats.org/officeDocument/2006/relationships/hyperlink" Target="http://www.tracer2.com/?PAGEID=67&amp;SUBID=11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txhighereddata.org/reports/performance/regions/" TargetMode="External"/><Relationship Id="rId1" Type="http://schemas.openxmlformats.org/officeDocument/2006/relationships/hyperlink" Target="http://ritter.tea.state.tx.us/perfreport/snapsh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B67FF6-BF2E-4152-804C-14BB2F1C4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3915</Words>
  <Characters>22048</Characters>
  <Application>Microsoft Office Word</Application>
  <DocSecurity>0</DocSecurity>
  <Lines>816</Lines>
  <Paragraphs>244</Paragraphs>
  <ScaleCrop>false</ScaleCrop>
  <HeadingPairs>
    <vt:vector size="2" baseType="variant">
      <vt:variant>
        <vt:lpstr>Title</vt:lpstr>
      </vt:variant>
      <vt:variant>
        <vt:i4>1</vt:i4>
      </vt:variant>
    </vt:vector>
  </HeadingPairs>
  <TitlesOfParts>
    <vt:vector size="1" baseType="lpstr">
      <vt:lpstr>A WHITE PAPER</vt:lpstr>
    </vt:vector>
  </TitlesOfParts>
  <Company>Houston-Galveston Area Council</Company>
  <LinksUpToDate>false</LinksUpToDate>
  <CharactersWithSpaces>25719</CharactersWithSpaces>
  <SharedDoc>false</SharedDoc>
  <HLinks>
    <vt:vector size="6" baseType="variant">
      <vt:variant>
        <vt:i4>3670125</vt:i4>
      </vt:variant>
      <vt:variant>
        <vt:i4>0</vt:i4>
      </vt:variant>
      <vt:variant>
        <vt:i4>0</vt:i4>
      </vt:variant>
      <vt:variant>
        <vt:i4>5</vt:i4>
      </vt:variant>
      <vt:variant>
        <vt:lpwstr>http://www.tracer2.com/?PAGEID=67&amp;SUBID=114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DemandsIn the Educational Services Industry</dc:title>
  <dc:subject>Workforce DemandsIn the Educational Services Industry</dc:subject>
  <dc:creator>nguyend</dc:creator>
  <cp:keywords>Workforce DemandsIn the Educational Services Industry</cp:keywords>
  <cp:lastModifiedBy>nguyend</cp:lastModifiedBy>
  <cp:revision>2</cp:revision>
  <cp:lastPrinted>2015-09-29T18:16:00Z</cp:lastPrinted>
  <dcterms:created xsi:type="dcterms:W3CDTF">2015-10-06T20:40:00Z</dcterms:created>
  <dcterms:modified xsi:type="dcterms:W3CDTF">2015-10-06T20:40:00Z</dcterms:modified>
</cp:coreProperties>
</file>