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E0" w:rsidRDefault="007154E0"/>
    <w:p w:rsidR="007154E0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rPr>
          <w:b/>
        </w:rPr>
      </w:pPr>
    </w:p>
    <w:p w:rsidR="007154E0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</w:pPr>
      <w:r>
        <w:rPr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6.4pt;margin-top:43.2pt;width:335.25pt;height:41.25pt;z-index:251657728;mso-position-vertical-relative:page" o:allowincell="f" fillcolor="navy" stroked="f">
            <v:shadow on="t" color="silver" offset="3pt"/>
            <v:textpath style="font-family:&quot;Times New Roman&quot;;font-weight:bold;v-text-kern:t" trim="t" fitpath="t" string="Waller County Profile"/>
            <w10:wrap anchory="page"/>
            <w10:anchorlock/>
          </v:shape>
        </w:pict>
      </w:r>
      <w:r>
        <w:rPr>
          <w:b/>
        </w:rPr>
        <w:t>Waller County</w:t>
      </w:r>
      <w:r>
        <w:t xml:space="preserve"> is located in East Central Texas and is one of 13 counties in the Gulf Coast </w:t>
      </w:r>
      <w:smartTag w:uri="urn:schemas-microsoft-com:office:smarttags" w:element="PersonName">
        <w:r>
          <w:t>Workforce</w:t>
        </w:r>
      </w:smartTag>
      <w:r>
        <w:t xml:space="preserve"> </w:t>
      </w:r>
      <w:r w:rsidR="00E806A4">
        <w:t>Region</w:t>
      </w:r>
      <w:r w:rsidR="00E875D8">
        <w:t>.  Walker County's 201</w:t>
      </w:r>
      <w:r w:rsidR="00F911FB">
        <w:t>3</w:t>
      </w:r>
      <w:r>
        <w:t xml:space="preserve"> population </w:t>
      </w:r>
      <w:r w:rsidR="00964FB6">
        <w:t xml:space="preserve">estimate </w:t>
      </w:r>
      <w:r w:rsidR="00E875D8">
        <w:t>was 4</w:t>
      </w:r>
      <w:r w:rsidR="00F911FB">
        <w:t>5,213</w:t>
      </w:r>
      <w:r>
        <w:t xml:space="preserve">.  </w:t>
      </w:r>
      <w:smartTag w:uri="urn:schemas-microsoft-com:office:smarttags" w:element="place">
        <w:r>
          <w:t>Hempstead</w:t>
        </w:r>
      </w:smartTag>
      <w:r>
        <w:t xml:space="preserve"> is the county seat.  Other towns include Brookshire, Prairieview and Waller.  </w:t>
      </w:r>
      <w:r>
        <w:rPr>
          <w:color w:val="000000"/>
        </w:rPr>
        <w:t xml:space="preserve">The </w:t>
      </w:r>
      <w:r>
        <w:t xml:space="preserve">Trade, Services, State and Local Government and Manufacturing Sectors fuel county employment.  </w:t>
      </w:r>
      <w:smartTag w:uri="urn:schemas-microsoft-com:office:smarttags" w:element="place">
        <w:smartTag w:uri="urn:schemas-microsoft-com:office:smarttags" w:element="PlaceName">
          <w:r>
            <w:t>Waller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is home to </w:t>
      </w:r>
      <w:smartTag w:uri="urn:schemas-microsoft-com:office:smarttags" w:element="place">
        <w:smartTag w:uri="urn:schemas-microsoft-com:office:smarttags" w:element="PlaceName">
          <w:r>
            <w:t>Prairie</w:t>
          </w:r>
        </w:smartTag>
        <w:r>
          <w:t xml:space="preserve"> </w:t>
        </w:r>
        <w:smartTag w:uri="urn:schemas-microsoft-com:office:smarttags" w:element="PlaceName">
          <w:r>
            <w:t>View</w:t>
          </w:r>
        </w:smartTag>
        <w:r>
          <w:t xml:space="preserve"> </w:t>
        </w:r>
        <w:smartTag w:uri="urn:schemas-microsoft-com:office:smarttags" w:element="PlaceName">
          <w:r>
            <w:t>A &amp; M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  The average unemployment rate in Waller County in 20</w:t>
      </w:r>
      <w:r w:rsidR="00E875D8">
        <w:t>1</w:t>
      </w:r>
      <w:r w:rsidR="00F911FB">
        <w:t>3</w:t>
      </w:r>
      <w:r>
        <w:t xml:space="preserve"> was </w:t>
      </w:r>
      <w:r w:rsidR="00F911FB">
        <w:t>6.4</w:t>
      </w:r>
      <w:r>
        <w:t xml:space="preserve"> percent.</w:t>
      </w: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2"/>
          <w:szCs w:val="12"/>
        </w:rPr>
      </w:pPr>
    </w:p>
    <w:p w:rsidR="007154E0" w:rsidRDefault="007154E0">
      <w:pPr>
        <w:tabs>
          <w:tab w:val="left" w:pos="0"/>
        </w:tabs>
        <w:jc w:val="both"/>
        <w:rPr>
          <w:sz w:val="24"/>
        </w:rPr>
      </w:pPr>
    </w:p>
    <w:p w:rsidR="007154E0" w:rsidRPr="00F77186" w:rsidRDefault="007154E0">
      <w:pPr>
        <w:tabs>
          <w:tab w:val="left" w:pos="0"/>
        </w:tabs>
        <w:jc w:val="both"/>
        <w:rPr>
          <w:sz w:val="12"/>
          <w:szCs w:val="12"/>
        </w:rPr>
        <w:sectPr w:rsidR="007154E0" w:rsidRPr="00F771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08" w:bottom="1080" w:left="1008" w:header="720" w:footer="720" w:gutter="0"/>
          <w:pgBorders w:offsetFrom="page">
            <w:top w:val="thickThinMediumGap" w:sz="36" w:space="24" w:color="000080"/>
            <w:left w:val="thickThinMediumGap" w:sz="36" w:space="24" w:color="000080"/>
            <w:bottom w:val="thinThickMediumGap" w:sz="36" w:space="24" w:color="000080"/>
            <w:right w:val="thinThickMediumGap" w:sz="36" w:space="24" w:color="000080"/>
          </w:pgBorders>
          <w:cols w:space="720"/>
        </w:sectPr>
      </w:pP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outlineLvl w:val="0"/>
        <w:rPr>
          <w:sz w:val="18"/>
          <w:szCs w:val="18"/>
          <w:u w:val="single"/>
        </w:rPr>
      </w:pPr>
      <w:r w:rsidRPr="00F77186">
        <w:rPr>
          <w:sz w:val="18"/>
          <w:szCs w:val="18"/>
          <w:u w:val="single"/>
        </w:rPr>
        <w:lastRenderedPageBreak/>
        <w:t>Per Capita Personal Income (20</w:t>
      </w:r>
      <w:r w:rsidR="0030221C">
        <w:rPr>
          <w:sz w:val="18"/>
          <w:szCs w:val="18"/>
          <w:u w:val="single"/>
        </w:rPr>
        <w:t>1</w:t>
      </w:r>
      <w:r w:rsidR="002C2FEA">
        <w:rPr>
          <w:sz w:val="18"/>
          <w:szCs w:val="18"/>
          <w:u w:val="single"/>
        </w:rPr>
        <w:t>2</w:t>
      </w:r>
      <w:r w:rsidRPr="00F77186">
        <w:rPr>
          <w:sz w:val="18"/>
          <w:szCs w:val="18"/>
          <w:u w:val="single"/>
        </w:rPr>
        <w:t>)</w:t>
      </w: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  <w:u w:val="single"/>
        </w:rPr>
      </w:pP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  <w:r w:rsidRPr="00F77186">
        <w:rPr>
          <w:sz w:val="18"/>
          <w:szCs w:val="18"/>
        </w:rPr>
        <w:t>$</w:t>
      </w:r>
      <w:r w:rsidR="002C2FEA">
        <w:rPr>
          <w:sz w:val="18"/>
          <w:szCs w:val="18"/>
        </w:rPr>
        <w:t>31,119</w:t>
      </w:r>
      <w:r w:rsidRPr="00F77186">
        <w:rPr>
          <w:sz w:val="18"/>
          <w:szCs w:val="18"/>
        </w:rPr>
        <w:t xml:space="preserve"> ranking </w:t>
      </w:r>
      <w:r w:rsidR="0030221C">
        <w:rPr>
          <w:sz w:val="18"/>
          <w:szCs w:val="18"/>
        </w:rPr>
        <w:t>21</w:t>
      </w:r>
      <w:r w:rsidR="002C2FEA">
        <w:rPr>
          <w:sz w:val="18"/>
          <w:szCs w:val="18"/>
        </w:rPr>
        <w:t>7</w:t>
      </w:r>
      <w:r w:rsidR="00722FDB" w:rsidRPr="00722FDB">
        <w:rPr>
          <w:sz w:val="18"/>
          <w:szCs w:val="18"/>
          <w:vertAlign w:val="superscript"/>
        </w:rPr>
        <w:t>th</w:t>
      </w:r>
      <w:r w:rsidR="00722FDB">
        <w:rPr>
          <w:sz w:val="18"/>
          <w:szCs w:val="18"/>
        </w:rPr>
        <w:t xml:space="preserve"> </w:t>
      </w:r>
      <w:r w:rsidRPr="00F77186">
        <w:rPr>
          <w:sz w:val="18"/>
          <w:szCs w:val="18"/>
        </w:rPr>
        <w:t xml:space="preserve">in the State and was </w:t>
      </w:r>
      <w:r w:rsidR="0030221C">
        <w:rPr>
          <w:sz w:val="18"/>
          <w:szCs w:val="18"/>
        </w:rPr>
        <w:t>73</w:t>
      </w:r>
      <w:r w:rsidRPr="00F77186">
        <w:rPr>
          <w:sz w:val="18"/>
          <w:szCs w:val="18"/>
        </w:rPr>
        <w:t xml:space="preserve"> percent of the State average, $</w:t>
      </w:r>
      <w:r w:rsidR="0030221C">
        <w:rPr>
          <w:sz w:val="18"/>
          <w:szCs w:val="18"/>
        </w:rPr>
        <w:t>4</w:t>
      </w:r>
      <w:r w:rsidR="002C2FEA">
        <w:rPr>
          <w:sz w:val="18"/>
          <w:szCs w:val="18"/>
        </w:rPr>
        <w:t>2,638</w:t>
      </w:r>
      <w:r w:rsidRPr="00F77186">
        <w:rPr>
          <w:sz w:val="18"/>
          <w:szCs w:val="18"/>
        </w:rPr>
        <w:t xml:space="preserve">.  The </w:t>
      </w:r>
      <w:r w:rsidR="0030221C">
        <w:rPr>
          <w:sz w:val="18"/>
          <w:szCs w:val="18"/>
        </w:rPr>
        <w:t xml:space="preserve">compound </w:t>
      </w:r>
      <w:r w:rsidRPr="00F77186">
        <w:rPr>
          <w:sz w:val="18"/>
          <w:szCs w:val="18"/>
        </w:rPr>
        <w:t xml:space="preserve">annual growth rate over the past 10 years was </w:t>
      </w:r>
      <w:r w:rsidR="0030221C">
        <w:rPr>
          <w:sz w:val="18"/>
          <w:szCs w:val="18"/>
        </w:rPr>
        <w:t>2.9</w:t>
      </w:r>
      <w:r w:rsidRPr="00F77186">
        <w:rPr>
          <w:sz w:val="18"/>
          <w:szCs w:val="18"/>
        </w:rPr>
        <w:t xml:space="preserve"> percent as compared to </w:t>
      </w:r>
      <w:r w:rsidR="001B2C78">
        <w:rPr>
          <w:sz w:val="18"/>
          <w:szCs w:val="18"/>
        </w:rPr>
        <w:t>3.</w:t>
      </w:r>
      <w:r w:rsidR="002C2FEA">
        <w:rPr>
          <w:sz w:val="18"/>
          <w:szCs w:val="18"/>
        </w:rPr>
        <w:t>8</w:t>
      </w:r>
      <w:r w:rsidRPr="00F77186">
        <w:rPr>
          <w:sz w:val="18"/>
          <w:szCs w:val="18"/>
        </w:rPr>
        <w:t xml:space="preserve"> percent for the State and </w:t>
      </w:r>
      <w:r w:rsidR="002C2FEA">
        <w:rPr>
          <w:sz w:val="18"/>
          <w:szCs w:val="18"/>
        </w:rPr>
        <w:t>3.2</w:t>
      </w:r>
      <w:r w:rsidRPr="00F77186">
        <w:rPr>
          <w:sz w:val="18"/>
          <w:szCs w:val="18"/>
        </w:rPr>
        <w:t xml:space="preserve"> percent for the nation.</w:t>
      </w: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rPr>
          <w:sz w:val="18"/>
          <w:szCs w:val="18"/>
        </w:rPr>
      </w:pP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outlineLvl w:val="0"/>
        <w:rPr>
          <w:sz w:val="18"/>
          <w:szCs w:val="18"/>
        </w:rPr>
      </w:pPr>
      <w:r w:rsidRPr="00F77186">
        <w:rPr>
          <w:sz w:val="18"/>
          <w:szCs w:val="18"/>
          <w:u w:val="single"/>
        </w:rPr>
        <w:t>Total Personal Income (20</w:t>
      </w:r>
      <w:r w:rsidR="0030221C">
        <w:rPr>
          <w:sz w:val="18"/>
          <w:szCs w:val="18"/>
          <w:u w:val="single"/>
        </w:rPr>
        <w:t>1</w:t>
      </w:r>
      <w:r w:rsidR="002C2FEA">
        <w:rPr>
          <w:sz w:val="18"/>
          <w:szCs w:val="18"/>
          <w:u w:val="single"/>
        </w:rPr>
        <w:t>2</w:t>
      </w:r>
      <w:r w:rsidRPr="00F77186">
        <w:rPr>
          <w:sz w:val="18"/>
          <w:szCs w:val="18"/>
          <w:u w:val="single"/>
        </w:rPr>
        <w:t>)</w:t>
      </w: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rPr>
          <w:sz w:val="18"/>
          <w:szCs w:val="18"/>
        </w:rPr>
      </w:pP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  <w:r w:rsidRPr="00F77186">
        <w:rPr>
          <w:sz w:val="18"/>
          <w:szCs w:val="18"/>
        </w:rPr>
        <w:t>$</w:t>
      </w:r>
      <w:r w:rsidR="005239DD">
        <w:rPr>
          <w:sz w:val="18"/>
          <w:szCs w:val="18"/>
        </w:rPr>
        <w:t>1,</w:t>
      </w:r>
      <w:r w:rsidR="00870837">
        <w:rPr>
          <w:sz w:val="18"/>
          <w:szCs w:val="18"/>
        </w:rPr>
        <w:t>380,365</w:t>
      </w:r>
      <w:r w:rsidRPr="00F77186">
        <w:rPr>
          <w:sz w:val="18"/>
          <w:szCs w:val="18"/>
        </w:rPr>
        <w:t xml:space="preserve">,000 ranking </w:t>
      </w:r>
      <w:r w:rsidR="004B795C">
        <w:rPr>
          <w:sz w:val="18"/>
          <w:szCs w:val="18"/>
        </w:rPr>
        <w:t>7</w:t>
      </w:r>
      <w:r w:rsidR="0030221C">
        <w:rPr>
          <w:sz w:val="18"/>
          <w:szCs w:val="18"/>
        </w:rPr>
        <w:t>8</w:t>
      </w:r>
      <w:r w:rsidR="004B795C" w:rsidRPr="004B795C">
        <w:rPr>
          <w:sz w:val="18"/>
          <w:szCs w:val="18"/>
          <w:vertAlign w:val="superscript"/>
        </w:rPr>
        <w:t>th</w:t>
      </w:r>
      <w:r w:rsidR="004B795C">
        <w:rPr>
          <w:sz w:val="18"/>
          <w:szCs w:val="18"/>
        </w:rPr>
        <w:t xml:space="preserve"> </w:t>
      </w:r>
      <w:r w:rsidRPr="00F77186">
        <w:rPr>
          <w:sz w:val="18"/>
          <w:szCs w:val="18"/>
        </w:rPr>
        <w:t>in the State with a</w:t>
      </w:r>
      <w:r w:rsidR="0030221C">
        <w:rPr>
          <w:sz w:val="18"/>
          <w:szCs w:val="18"/>
        </w:rPr>
        <w:t xml:space="preserve"> compound</w:t>
      </w:r>
      <w:r w:rsidRPr="00F77186">
        <w:rPr>
          <w:sz w:val="18"/>
          <w:szCs w:val="18"/>
        </w:rPr>
        <w:t xml:space="preserve"> annual growth rate</w:t>
      </w:r>
      <w:r w:rsidR="00BD741D">
        <w:rPr>
          <w:sz w:val="18"/>
          <w:szCs w:val="18"/>
        </w:rPr>
        <w:t xml:space="preserve"> over the past 10 years</w:t>
      </w:r>
      <w:r w:rsidRPr="00F77186">
        <w:rPr>
          <w:sz w:val="18"/>
          <w:szCs w:val="18"/>
        </w:rPr>
        <w:t xml:space="preserve"> of </w:t>
      </w:r>
      <w:r w:rsidR="0030221C">
        <w:rPr>
          <w:sz w:val="18"/>
          <w:szCs w:val="18"/>
        </w:rPr>
        <w:t>5.</w:t>
      </w:r>
      <w:r w:rsidR="00870837">
        <w:rPr>
          <w:sz w:val="18"/>
          <w:szCs w:val="18"/>
        </w:rPr>
        <w:t>3</w:t>
      </w:r>
      <w:r w:rsidRPr="00F77186">
        <w:rPr>
          <w:sz w:val="18"/>
          <w:szCs w:val="18"/>
        </w:rPr>
        <w:t xml:space="preserve"> percent as compared to </w:t>
      </w:r>
      <w:r w:rsidR="001B2C78">
        <w:rPr>
          <w:sz w:val="18"/>
          <w:szCs w:val="18"/>
        </w:rPr>
        <w:t>5.</w:t>
      </w:r>
      <w:r w:rsidR="00870837">
        <w:rPr>
          <w:sz w:val="18"/>
          <w:szCs w:val="18"/>
        </w:rPr>
        <w:t>7</w:t>
      </w:r>
      <w:r w:rsidRPr="00F77186">
        <w:rPr>
          <w:sz w:val="18"/>
          <w:szCs w:val="18"/>
        </w:rPr>
        <w:t xml:space="preserve"> percent for the State and </w:t>
      </w:r>
      <w:r w:rsidR="00870837">
        <w:rPr>
          <w:sz w:val="18"/>
          <w:szCs w:val="18"/>
        </w:rPr>
        <w:t>4.1</w:t>
      </w:r>
      <w:r w:rsidRPr="00F77186">
        <w:rPr>
          <w:sz w:val="18"/>
          <w:szCs w:val="18"/>
        </w:rPr>
        <w:t xml:space="preserve"> percent for the nation.</w:t>
      </w: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outlineLvl w:val="0"/>
        <w:rPr>
          <w:sz w:val="18"/>
          <w:szCs w:val="18"/>
          <w:u w:val="single"/>
        </w:rPr>
      </w:pPr>
      <w:r w:rsidRPr="00F77186">
        <w:rPr>
          <w:sz w:val="18"/>
          <w:szCs w:val="18"/>
          <w:u w:val="single"/>
        </w:rPr>
        <w:t>Median Household Income (</w:t>
      </w:r>
      <w:r w:rsidR="005322D7" w:rsidRPr="00F77186">
        <w:rPr>
          <w:sz w:val="18"/>
          <w:szCs w:val="18"/>
          <w:u w:val="single"/>
        </w:rPr>
        <w:t>20</w:t>
      </w:r>
      <w:r w:rsidR="00EB3F15">
        <w:rPr>
          <w:sz w:val="18"/>
          <w:szCs w:val="18"/>
          <w:u w:val="single"/>
        </w:rPr>
        <w:t>1</w:t>
      </w:r>
      <w:r w:rsidR="00870837">
        <w:rPr>
          <w:sz w:val="18"/>
          <w:szCs w:val="18"/>
          <w:u w:val="single"/>
        </w:rPr>
        <w:t>2</w:t>
      </w:r>
      <w:r w:rsidRPr="00F77186">
        <w:rPr>
          <w:sz w:val="18"/>
          <w:szCs w:val="18"/>
          <w:u w:val="single"/>
        </w:rPr>
        <w:t>)</w:t>
      </w: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  <w:u w:val="single"/>
        </w:rPr>
      </w:pPr>
    </w:p>
    <w:p w:rsidR="007154E0" w:rsidRPr="00F77186" w:rsidRDefault="005322D7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  <w:r w:rsidRPr="00F77186">
        <w:rPr>
          <w:sz w:val="18"/>
          <w:szCs w:val="18"/>
        </w:rPr>
        <w:t>$</w:t>
      </w:r>
      <w:r w:rsidR="00870837">
        <w:rPr>
          <w:sz w:val="18"/>
          <w:szCs w:val="18"/>
        </w:rPr>
        <w:t>51,576</w:t>
      </w:r>
    </w:p>
    <w:p w:rsidR="007154E0" w:rsidRPr="00F77186" w:rsidRDefault="007154E0">
      <w:pPr>
        <w:tabs>
          <w:tab w:val="left" w:pos="0"/>
        </w:tabs>
        <w:jc w:val="both"/>
        <w:rPr>
          <w:sz w:val="18"/>
          <w:szCs w:val="18"/>
          <w:u w:val="single"/>
        </w:rPr>
      </w:pP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outlineLvl w:val="0"/>
        <w:rPr>
          <w:sz w:val="18"/>
          <w:szCs w:val="18"/>
        </w:rPr>
      </w:pPr>
      <w:r w:rsidRPr="00F77186">
        <w:rPr>
          <w:sz w:val="18"/>
          <w:szCs w:val="18"/>
          <w:u w:val="single"/>
        </w:rPr>
        <w:t>Major Employers</w:t>
      </w: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  <w:r w:rsidRPr="00F77186">
        <w:rPr>
          <w:sz w:val="18"/>
          <w:szCs w:val="18"/>
        </w:rPr>
        <w:t>Briarwood-Brookwood Inc</w:t>
      </w:r>
    </w:p>
    <w:p w:rsidR="00F77186" w:rsidRDefault="00F77186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Creekside Nursery</w:t>
      </w:r>
    </w:p>
    <w:p w:rsidR="007154E0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  <w:smartTag w:uri="urn:schemas-microsoft-com:office:smarttags" w:element="place">
        <w:r w:rsidRPr="00F77186">
          <w:rPr>
            <w:sz w:val="18"/>
            <w:szCs w:val="18"/>
          </w:rPr>
          <w:t>Hempstead</w:t>
        </w:r>
      </w:smartTag>
      <w:r w:rsidRPr="00F77186">
        <w:rPr>
          <w:sz w:val="18"/>
          <w:szCs w:val="18"/>
        </w:rPr>
        <w:t xml:space="preserve"> ISD</w:t>
      </w:r>
    </w:p>
    <w:p w:rsidR="00955792" w:rsidRPr="00F77186" w:rsidRDefault="00955792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Igloo</w:t>
      </w:r>
    </w:p>
    <w:p w:rsidR="00F77186" w:rsidRDefault="00F77186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PBS of </w:t>
      </w:r>
      <w:smartTag w:uri="urn:schemas-microsoft-com:office:smarttags" w:element="place">
        <w:r>
          <w:rPr>
            <w:sz w:val="18"/>
            <w:szCs w:val="18"/>
          </w:rPr>
          <w:t>Central Florida</w:t>
        </w:r>
      </w:smartTag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F77186">
            <w:rPr>
              <w:sz w:val="18"/>
              <w:szCs w:val="18"/>
            </w:rPr>
            <w:t>Prairie</w:t>
          </w:r>
        </w:smartTag>
        <w:r w:rsidRPr="00F77186">
          <w:rPr>
            <w:sz w:val="18"/>
            <w:szCs w:val="18"/>
          </w:rPr>
          <w:t xml:space="preserve"> </w:t>
        </w:r>
        <w:smartTag w:uri="urn:schemas-microsoft-com:office:smarttags" w:element="PlaceName">
          <w:r w:rsidRPr="00F77186">
            <w:rPr>
              <w:sz w:val="18"/>
              <w:szCs w:val="18"/>
            </w:rPr>
            <w:t>View</w:t>
          </w:r>
        </w:smartTag>
        <w:r w:rsidRPr="00F77186">
          <w:rPr>
            <w:sz w:val="18"/>
            <w:szCs w:val="18"/>
          </w:rPr>
          <w:t xml:space="preserve"> </w:t>
        </w:r>
        <w:smartTag w:uri="urn:schemas-microsoft-com:office:smarttags" w:element="PlaceName">
          <w:r w:rsidRPr="00F77186">
            <w:rPr>
              <w:sz w:val="18"/>
              <w:szCs w:val="18"/>
            </w:rPr>
            <w:t>A &amp; M</w:t>
          </w:r>
        </w:smartTag>
        <w:r w:rsidRPr="00F77186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F77186">
            <w:rPr>
              <w:sz w:val="18"/>
              <w:szCs w:val="18"/>
            </w:rPr>
            <w:t>University</w:t>
          </w:r>
        </w:smartTag>
      </w:smartTag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  <w:r w:rsidRPr="00F77186">
        <w:rPr>
          <w:sz w:val="18"/>
          <w:szCs w:val="18"/>
        </w:rPr>
        <w:t>Royal ISD</w:t>
      </w: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  <w:r w:rsidRPr="00F77186">
        <w:rPr>
          <w:sz w:val="18"/>
          <w:szCs w:val="18"/>
        </w:rPr>
        <w:t>Waller ISD</w:t>
      </w: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  <w:r w:rsidRPr="00F77186">
        <w:rPr>
          <w:sz w:val="18"/>
          <w:szCs w:val="18"/>
        </w:rPr>
        <w:t>Wal-Mart Associates Inc</w:t>
      </w:r>
    </w:p>
    <w:p w:rsidR="007154E0" w:rsidRPr="00F77186" w:rsidRDefault="007154E0">
      <w:pPr>
        <w:tabs>
          <w:tab w:val="left" w:pos="0"/>
        </w:tabs>
        <w:jc w:val="both"/>
        <w:rPr>
          <w:sz w:val="18"/>
          <w:szCs w:val="18"/>
        </w:rPr>
      </w:pP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outlineLvl w:val="0"/>
        <w:rPr>
          <w:sz w:val="18"/>
          <w:szCs w:val="18"/>
        </w:rPr>
      </w:pPr>
    </w:p>
    <w:p w:rsidR="007154E0" w:rsidRPr="00F77186" w:rsidRDefault="003D4176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  <w:r>
        <w:rPr>
          <w:noProof/>
          <w:szCs w:val="18"/>
        </w:rPr>
        <w:drawing>
          <wp:inline distT="0" distB="0" distL="0" distR="0">
            <wp:extent cx="2734310" cy="153543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0" w:rsidRPr="00F77186" w:rsidRDefault="007154E0">
      <w:pPr>
        <w:pBdr>
          <w:top w:val="single" w:sz="18" w:space="1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rPr>
          <w:sz w:val="18"/>
          <w:szCs w:val="18"/>
        </w:rPr>
      </w:pPr>
    </w:p>
    <w:p w:rsidR="007154E0" w:rsidRDefault="007154E0">
      <w:pPr>
        <w:tabs>
          <w:tab w:val="left" w:pos="0"/>
        </w:tabs>
        <w:jc w:val="both"/>
      </w:pPr>
    </w:p>
    <w:p w:rsidR="005322D7" w:rsidRDefault="005322D7">
      <w:pPr>
        <w:tabs>
          <w:tab w:val="left" w:pos="0"/>
        </w:tabs>
        <w:jc w:val="both"/>
        <w:rPr>
          <w:i/>
          <w:sz w:val="16"/>
        </w:rPr>
      </w:pPr>
    </w:p>
    <w:p w:rsidR="007154E0" w:rsidRDefault="007154E0">
      <w:pPr>
        <w:tabs>
          <w:tab w:val="left" w:pos="0"/>
        </w:tabs>
        <w:jc w:val="both"/>
        <w:rPr>
          <w:i/>
          <w:sz w:val="16"/>
        </w:rPr>
      </w:pPr>
      <w:r>
        <w:rPr>
          <w:i/>
          <w:sz w:val="16"/>
        </w:rPr>
        <w:t>Data Source: U.S. Census Bureau, Bureau of Economic Analysis</w:t>
      </w:r>
      <w:r w:rsidR="00F77186">
        <w:rPr>
          <w:i/>
          <w:sz w:val="16"/>
        </w:rPr>
        <w:t>,</w:t>
      </w:r>
      <w:r>
        <w:rPr>
          <w:i/>
          <w:sz w:val="16"/>
        </w:rPr>
        <w:t xml:space="preserve"> and Texas </w:t>
      </w:r>
      <w:smartTag w:uri="urn:schemas-microsoft-com:office:smarttags" w:element="PersonName">
        <w:r>
          <w:rPr>
            <w:i/>
            <w:sz w:val="16"/>
          </w:rPr>
          <w:t>Workforce</w:t>
        </w:r>
      </w:smartTag>
      <w:r>
        <w:rPr>
          <w:i/>
          <w:sz w:val="16"/>
        </w:rPr>
        <w:t xml:space="preserve"> Commission.</w:t>
      </w:r>
    </w:p>
    <w:p w:rsidR="007154E0" w:rsidRDefault="007154E0">
      <w:pPr>
        <w:tabs>
          <w:tab w:val="left" w:pos="0"/>
        </w:tabs>
        <w:jc w:val="both"/>
        <w:rPr>
          <w:i/>
          <w:sz w:val="16"/>
        </w:rPr>
      </w:pPr>
      <w:r>
        <w:rPr>
          <w:sz w:val="16"/>
        </w:rPr>
        <w:t>*</w:t>
      </w:r>
      <w:r>
        <w:rPr>
          <w:i/>
          <w:sz w:val="16"/>
        </w:rPr>
        <w:t>Hispanic Persons are of Mexican, Puerto Rican, Cuban or South American or some other Spanish Origin.</w:t>
      </w:r>
    </w:p>
    <w:p w:rsidR="007154E0" w:rsidRDefault="007154E0">
      <w:pPr>
        <w:tabs>
          <w:tab w:val="left" w:pos="0"/>
        </w:tabs>
        <w:jc w:val="both"/>
        <w:rPr>
          <w:i/>
          <w:sz w:val="16"/>
        </w:rPr>
      </w:pPr>
    </w:p>
    <w:p w:rsidR="007154E0" w:rsidRDefault="007154E0">
      <w:pPr>
        <w:tabs>
          <w:tab w:val="left" w:pos="0"/>
        </w:tabs>
        <w:jc w:val="both"/>
        <w:rPr>
          <w:i/>
          <w:sz w:val="16"/>
        </w:rPr>
      </w:pPr>
    </w:p>
    <w:p w:rsidR="007154E0" w:rsidRDefault="007154E0">
      <w:pPr>
        <w:tabs>
          <w:tab w:val="left" w:pos="0"/>
        </w:tabs>
        <w:jc w:val="both"/>
        <w:rPr>
          <w:i/>
          <w:sz w:val="16"/>
        </w:rPr>
      </w:pPr>
    </w:p>
    <w:p w:rsidR="007154E0" w:rsidRDefault="003D4176">
      <w:pPr>
        <w:tabs>
          <w:tab w:val="left" w:pos="0"/>
        </w:tabs>
        <w:jc w:val="both"/>
        <w:rPr>
          <w:i/>
          <w:sz w:val="16"/>
        </w:rPr>
      </w:pPr>
      <w:r>
        <w:rPr>
          <w:noProof/>
        </w:rPr>
        <w:lastRenderedPageBreak/>
        <w:drawing>
          <wp:inline distT="0" distB="0" distL="0" distR="0">
            <wp:extent cx="3010535" cy="219138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0" w:rsidRDefault="007154E0">
      <w:pPr>
        <w:tabs>
          <w:tab w:val="left" w:pos="0"/>
        </w:tabs>
        <w:jc w:val="both"/>
        <w:rPr>
          <w:i/>
          <w:sz w:val="16"/>
        </w:rPr>
      </w:pPr>
    </w:p>
    <w:p w:rsidR="00522FD0" w:rsidRDefault="003D4176">
      <w:pPr>
        <w:tabs>
          <w:tab w:val="left" w:pos="0"/>
        </w:tabs>
        <w:jc w:val="both"/>
        <w:rPr>
          <w:i/>
          <w:noProof/>
          <w:sz w:val="16"/>
        </w:rPr>
      </w:pPr>
      <w:r>
        <w:rPr>
          <w:noProof/>
        </w:rPr>
        <w:drawing>
          <wp:inline distT="0" distB="0" distL="0" distR="0">
            <wp:extent cx="3010535" cy="219138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FD0" w:rsidRDefault="00522FD0">
      <w:pPr>
        <w:tabs>
          <w:tab w:val="left" w:pos="0"/>
        </w:tabs>
        <w:jc w:val="both"/>
        <w:rPr>
          <w:i/>
          <w:noProof/>
          <w:sz w:val="16"/>
        </w:rPr>
      </w:pPr>
    </w:p>
    <w:p w:rsidR="00522FD0" w:rsidRDefault="00522FD0">
      <w:pPr>
        <w:tabs>
          <w:tab w:val="left" w:pos="0"/>
        </w:tabs>
        <w:jc w:val="both"/>
        <w:rPr>
          <w:i/>
          <w:sz w:val="16"/>
        </w:rPr>
      </w:pPr>
    </w:p>
    <w:p w:rsidR="00F77186" w:rsidRDefault="00F77186" w:rsidP="00E875D8">
      <w:pPr>
        <w:pBdr>
          <w:top w:val="single" w:sz="18" w:space="1" w:color="000080"/>
          <w:left w:val="single" w:sz="18" w:space="0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outlineLvl w:val="0"/>
        <w:rPr>
          <w:szCs w:val="15"/>
        </w:rPr>
      </w:pPr>
      <w:r>
        <w:rPr>
          <w:sz w:val="15"/>
          <w:szCs w:val="15"/>
        </w:rPr>
        <w:tab/>
      </w:r>
      <w:r w:rsidR="003D4176">
        <w:rPr>
          <w:noProof/>
          <w:szCs w:val="15"/>
        </w:rPr>
        <w:drawing>
          <wp:inline distT="0" distB="0" distL="0" distR="0">
            <wp:extent cx="3019425" cy="174244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5D8" w:rsidRPr="00F77186" w:rsidRDefault="00E875D8" w:rsidP="00E875D8">
      <w:pPr>
        <w:pBdr>
          <w:top w:val="single" w:sz="18" w:space="1" w:color="000080"/>
          <w:left w:val="single" w:sz="18" w:space="0" w:color="000080"/>
          <w:bottom w:val="single" w:sz="18" w:space="1" w:color="000080"/>
          <w:right w:val="single" w:sz="18" w:space="4" w:color="000080"/>
        </w:pBdr>
        <w:tabs>
          <w:tab w:val="left" w:pos="0"/>
        </w:tabs>
        <w:jc w:val="both"/>
        <w:outlineLvl w:val="0"/>
        <w:rPr>
          <w:sz w:val="15"/>
          <w:szCs w:val="15"/>
        </w:rPr>
      </w:pPr>
    </w:p>
    <w:sectPr w:rsidR="00E875D8" w:rsidRPr="00F77186">
      <w:type w:val="continuous"/>
      <w:pgSz w:w="12240" w:h="15840"/>
      <w:pgMar w:top="1440" w:right="1008" w:bottom="180" w:left="1008" w:header="720" w:footer="720" w:gutter="0"/>
      <w:pgBorders w:offsetFrom="page">
        <w:top w:val="thickThinMediumGap" w:sz="36" w:space="24" w:color="000080"/>
        <w:left w:val="thickThinMediumGap" w:sz="36" w:space="24" w:color="000080"/>
        <w:bottom w:val="thinThickMediumGap" w:sz="36" w:space="24" w:color="000080"/>
        <w:right w:val="thinThickMediumGap" w:sz="36" w:space="24" w:color="000080"/>
      </w:pgBorders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CFC" w:rsidRDefault="00CB2CFC" w:rsidP="003D4176">
      <w:r>
        <w:separator/>
      </w:r>
    </w:p>
  </w:endnote>
  <w:endnote w:type="continuationSeparator" w:id="0">
    <w:p w:rsidR="00CB2CFC" w:rsidRDefault="00CB2CFC" w:rsidP="003D4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76" w:rsidRDefault="003D41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76" w:rsidRDefault="003D4176">
    <w:pPr>
      <w:pStyle w:val="Footer"/>
    </w:pPr>
    <w:r>
      <w:ptab w:relativeTo="margin" w:alignment="center" w:leader="none"/>
    </w:r>
    <w:r>
      <w:ptab w:relativeTo="margin" w:alignment="right" w:leader="none"/>
    </w:r>
    <w:r w:rsidRPr="003D4176">
      <w:t>04/26/2016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76" w:rsidRDefault="003D41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CFC" w:rsidRDefault="00CB2CFC" w:rsidP="003D4176">
      <w:r>
        <w:separator/>
      </w:r>
    </w:p>
  </w:footnote>
  <w:footnote w:type="continuationSeparator" w:id="0">
    <w:p w:rsidR="00CB2CFC" w:rsidRDefault="00CB2CFC" w:rsidP="003D4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76" w:rsidRDefault="003D41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76" w:rsidRDefault="003D41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76" w:rsidRDefault="003D41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0119"/>
    <w:multiLevelType w:val="multilevel"/>
    <w:tmpl w:val="AA0E7F34"/>
    <w:lvl w:ilvl="0">
      <w:start w:val="100"/>
      <w:numFmt w:val="decimal"/>
      <w:lvlText w:val="%1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1">
      <w:start w:val="499"/>
      <w:numFmt w:val="decimal"/>
      <w:lvlText w:val="%1-%2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840"/>
        </w:tabs>
        <w:ind w:left="3840" w:hanging="3840"/>
      </w:pPr>
      <w:rPr>
        <w:rFonts w:hint="default"/>
      </w:rPr>
    </w:lvl>
  </w:abstractNum>
  <w:abstractNum w:abstractNumId="1">
    <w:nsid w:val="4A1E3247"/>
    <w:multiLevelType w:val="multilevel"/>
    <w:tmpl w:val="08DC4DF0"/>
    <w:lvl w:ilvl="0">
      <w:start w:val="20"/>
      <w:numFmt w:val="decimal"/>
      <w:lvlText w:val="%1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50"/>
        </w:tabs>
        <w:ind w:left="3750" w:hanging="3750"/>
      </w:pPr>
      <w:rPr>
        <w:rFonts w:hint="default"/>
      </w:rPr>
    </w:lvl>
  </w:abstractNum>
  <w:abstractNum w:abstractNumId="2">
    <w:nsid w:val="5DD27D47"/>
    <w:multiLevelType w:val="multilevel"/>
    <w:tmpl w:val="A20AF736"/>
    <w:lvl w:ilvl="0">
      <w:start w:val="1"/>
      <w:numFmt w:val="decimal"/>
      <w:lvlText w:val="%1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1">
      <w:start w:val="19"/>
      <w:numFmt w:val="decimal"/>
      <w:lvlText w:val="%1-%2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50"/>
        </w:tabs>
        <w:ind w:left="3750" w:hanging="37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369"/>
    <w:rsid w:val="000006CD"/>
    <w:rsid w:val="00027EB2"/>
    <w:rsid w:val="000B2176"/>
    <w:rsid w:val="000E736B"/>
    <w:rsid w:val="001B2C78"/>
    <w:rsid w:val="001E477B"/>
    <w:rsid w:val="002622C8"/>
    <w:rsid w:val="002C2FEA"/>
    <w:rsid w:val="0030221C"/>
    <w:rsid w:val="00397C8F"/>
    <w:rsid w:val="003D4176"/>
    <w:rsid w:val="003F5D15"/>
    <w:rsid w:val="00437E8F"/>
    <w:rsid w:val="004B05CA"/>
    <w:rsid w:val="004B795C"/>
    <w:rsid w:val="004C0E78"/>
    <w:rsid w:val="00522FD0"/>
    <w:rsid w:val="005239DD"/>
    <w:rsid w:val="005322D7"/>
    <w:rsid w:val="00577BA5"/>
    <w:rsid w:val="005B0610"/>
    <w:rsid w:val="00635BE0"/>
    <w:rsid w:val="00641433"/>
    <w:rsid w:val="0071205E"/>
    <w:rsid w:val="007154E0"/>
    <w:rsid w:val="00722FDB"/>
    <w:rsid w:val="00772ADD"/>
    <w:rsid w:val="00870837"/>
    <w:rsid w:val="008A0D23"/>
    <w:rsid w:val="008D6E8A"/>
    <w:rsid w:val="00955792"/>
    <w:rsid w:val="00964FB6"/>
    <w:rsid w:val="00995F10"/>
    <w:rsid w:val="009B1DB9"/>
    <w:rsid w:val="009B7369"/>
    <w:rsid w:val="009D5C6A"/>
    <w:rsid w:val="00AF792D"/>
    <w:rsid w:val="00B1187B"/>
    <w:rsid w:val="00BD741D"/>
    <w:rsid w:val="00C964B4"/>
    <w:rsid w:val="00CB2CFC"/>
    <w:rsid w:val="00CC56BD"/>
    <w:rsid w:val="00D13870"/>
    <w:rsid w:val="00D16FF1"/>
    <w:rsid w:val="00D63642"/>
    <w:rsid w:val="00E806A4"/>
    <w:rsid w:val="00E875D8"/>
    <w:rsid w:val="00EB3F15"/>
    <w:rsid w:val="00ED484E"/>
    <w:rsid w:val="00EF339D"/>
    <w:rsid w:val="00F241B9"/>
    <w:rsid w:val="00F77186"/>
    <w:rsid w:val="00F911FB"/>
    <w:rsid w:val="00FD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ersonName"/>
  <w:shapeDefaults>
    <o:shapedefaults v:ext="edit" spidmax="2050" fillcolor="white" strokecolor="navy">
      <v:fill color="white"/>
      <v:stroke color="navy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B118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4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176"/>
  </w:style>
  <w:style w:type="paragraph" w:styleId="Footer">
    <w:name w:val="footer"/>
    <w:basedOn w:val="Normal"/>
    <w:link w:val="FooterChar"/>
    <w:uiPriority w:val="99"/>
    <w:semiHidden/>
    <w:unhideWhenUsed/>
    <w:rsid w:val="003D4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1180</Characters>
  <Application>Microsoft Office Word</Application>
  <DocSecurity>0</DocSecurity>
  <Lines>59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Austin County is located in East Central Texas and is one of 13 counties in the Gulf Coast Workforce Development Area</vt:lpstr>
    </vt:vector>
  </TitlesOfParts>
  <Company>TWC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Austin County is located in East Central Texas and is one of 13 counties in the Gulf Coast Workforce Development Area</dc:title>
  <dc:creator>TWC</dc:creator>
  <cp:lastModifiedBy>nguyend</cp:lastModifiedBy>
  <cp:revision>2</cp:revision>
  <cp:lastPrinted>2009-05-12T19:49:00Z</cp:lastPrinted>
  <dcterms:created xsi:type="dcterms:W3CDTF">2016-04-26T15:11:00Z</dcterms:created>
  <dcterms:modified xsi:type="dcterms:W3CDTF">2016-04-26T15:11:00Z</dcterms:modified>
</cp:coreProperties>
</file>