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BFBB" w14:textId="77777777" w:rsidR="001E6D47" w:rsidRDefault="00DF2E00" w:rsidP="001E6D47">
      <w:pPr>
        <w:spacing w:before="0" w:after="0"/>
      </w:pPr>
      <w:r>
        <w:rPr>
          <w:noProof/>
        </w:rPr>
        <w:drawing>
          <wp:anchor distT="0" distB="0" distL="114300" distR="114300" simplePos="0" relativeHeight="251657728" behindDoc="0" locked="0" layoutInCell="1" allowOverlap="1" wp14:anchorId="6A1920C6" wp14:editId="610B2C70">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2" cstate="print"/>
                    <a:srcRect/>
                    <a:stretch>
                      <a:fillRect/>
                    </a:stretch>
                  </pic:blipFill>
                  <pic:spPr bwMode="auto">
                    <a:xfrm>
                      <a:off x="0" y="0"/>
                      <a:ext cx="2912110" cy="662940"/>
                    </a:xfrm>
                    <a:prstGeom prst="rect">
                      <a:avLst/>
                    </a:prstGeom>
                    <a:noFill/>
                    <a:ln w="9525">
                      <a:noFill/>
                      <a:miter lim="800000"/>
                      <a:headEnd/>
                      <a:tailEnd/>
                    </a:ln>
                  </pic:spPr>
                </pic:pic>
              </a:graphicData>
            </a:graphic>
          </wp:anchor>
        </w:drawing>
      </w:r>
      <w:r w:rsidR="004373C1">
        <w:rPr>
          <w:noProof/>
        </w:rPr>
        <w:t>(</w:t>
      </w:r>
    </w:p>
    <w:p w14:paraId="32FA2B3F" w14:textId="77777777" w:rsidR="001E6D47" w:rsidRDefault="001E6D47" w:rsidP="001E6D47">
      <w:pPr>
        <w:spacing w:before="0" w:after="0"/>
      </w:pPr>
    </w:p>
    <w:p w14:paraId="4259E036" w14:textId="77777777" w:rsidR="001E6D47" w:rsidRDefault="001E6D47" w:rsidP="001E6D47">
      <w:pPr>
        <w:spacing w:before="0" w:after="0"/>
      </w:pPr>
    </w:p>
    <w:p w14:paraId="0CFB46AC" w14:textId="77777777" w:rsidR="00B00CD9" w:rsidRPr="0065167E" w:rsidRDefault="00B00CD9" w:rsidP="001E6D47">
      <w:pPr>
        <w:spacing w:before="0" w:after="0"/>
        <w:rPr>
          <w:rFonts w:ascii="CG Times" w:hAnsi="CG Times"/>
        </w:rPr>
      </w:pPr>
    </w:p>
    <w:tbl>
      <w:tblPr>
        <w:tblW w:w="0" w:type="auto"/>
        <w:tblInd w:w="6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tblGrid>
      <w:tr w:rsidR="003814D7" w:rsidRPr="00241BE6" w14:paraId="19FA527C" w14:textId="77777777" w:rsidTr="00EB08B9">
        <w:tc>
          <w:tcPr>
            <w:tcW w:w="3060" w:type="dxa"/>
          </w:tcPr>
          <w:p w14:paraId="1ED2D9CD" w14:textId="73C6FF55" w:rsidR="003814D7" w:rsidRPr="00241BE6" w:rsidRDefault="003814D7" w:rsidP="0046235E">
            <w:pPr>
              <w:spacing w:before="0" w:after="0"/>
              <w:jc w:val="center"/>
              <w:rPr>
                <w:b/>
              </w:rPr>
            </w:pPr>
            <w:r w:rsidRPr="00241BE6">
              <w:rPr>
                <w:b/>
              </w:rPr>
              <w:t xml:space="preserve">WS </w:t>
            </w:r>
            <w:r w:rsidR="007D1836">
              <w:rPr>
                <w:b/>
              </w:rPr>
              <w:t>17</w:t>
            </w:r>
            <w:r w:rsidR="000875B7">
              <w:rPr>
                <w:b/>
              </w:rPr>
              <w:t>-03</w:t>
            </w:r>
          </w:p>
        </w:tc>
      </w:tr>
      <w:tr w:rsidR="003814D7" w:rsidRPr="00241BE6" w14:paraId="7DEEBD14" w14:textId="77777777" w:rsidTr="00EB08B9">
        <w:tc>
          <w:tcPr>
            <w:tcW w:w="3060" w:type="dxa"/>
          </w:tcPr>
          <w:p w14:paraId="333B1DB0" w14:textId="2970A049" w:rsidR="00ED1043" w:rsidRDefault="007D1836" w:rsidP="00A2455F">
            <w:pPr>
              <w:spacing w:before="0" w:after="0"/>
              <w:jc w:val="center"/>
              <w:rPr>
                <w:b/>
              </w:rPr>
            </w:pPr>
            <w:r>
              <w:rPr>
                <w:b/>
              </w:rPr>
              <w:t>September 5, 2017</w:t>
            </w:r>
          </w:p>
        </w:tc>
      </w:tr>
      <w:tr w:rsidR="003814D7" w:rsidRPr="00241BE6" w14:paraId="74A9F694" w14:textId="77777777" w:rsidTr="00EB08B9">
        <w:tc>
          <w:tcPr>
            <w:tcW w:w="3060" w:type="dxa"/>
          </w:tcPr>
          <w:p w14:paraId="4AD8A7CB" w14:textId="3A02A857" w:rsidR="003814D7" w:rsidRPr="00241BE6" w:rsidRDefault="00BA47D6" w:rsidP="00802863">
            <w:pPr>
              <w:spacing w:before="0" w:after="0"/>
              <w:jc w:val="center"/>
              <w:rPr>
                <w:b/>
              </w:rPr>
            </w:pPr>
            <w:r>
              <w:rPr>
                <w:b/>
              </w:rPr>
              <w:t>Basic/Expanded Services</w:t>
            </w:r>
          </w:p>
        </w:tc>
      </w:tr>
      <w:tr w:rsidR="008A2C60" w:rsidRPr="00241BE6" w14:paraId="49CC480D" w14:textId="77777777" w:rsidTr="00EB08B9">
        <w:tc>
          <w:tcPr>
            <w:tcW w:w="3060" w:type="dxa"/>
          </w:tcPr>
          <w:p w14:paraId="376571D2" w14:textId="77777777" w:rsidR="008A2C60" w:rsidRPr="00241BE6" w:rsidRDefault="008A2C60" w:rsidP="00087BB8">
            <w:pPr>
              <w:spacing w:before="0" w:after="0"/>
              <w:jc w:val="center"/>
              <w:rPr>
                <w:b/>
              </w:rPr>
            </w:pPr>
            <w:r w:rsidRPr="008A2C60">
              <w:t>Expires:</w:t>
            </w:r>
            <w:r>
              <w:rPr>
                <w:b/>
              </w:rPr>
              <w:t xml:space="preserve">  </w:t>
            </w:r>
            <w:r w:rsidR="00087BB8">
              <w:rPr>
                <w:b/>
              </w:rPr>
              <w:t>Continuing</w:t>
            </w:r>
          </w:p>
        </w:tc>
      </w:tr>
    </w:tbl>
    <w:p w14:paraId="3CF4EE7E" w14:textId="6D6E7495" w:rsidR="00C55F02" w:rsidRDefault="00B00CD9" w:rsidP="001E6D47">
      <w:pPr>
        <w:spacing w:before="0" w:after="0"/>
      </w:pPr>
      <w:r w:rsidRPr="003814D7">
        <w:t xml:space="preserve">To:  </w:t>
      </w:r>
      <w:r w:rsidRPr="003814D7">
        <w:tab/>
      </w:r>
      <w:r w:rsidRPr="003814D7">
        <w:tab/>
      </w:r>
      <w:r w:rsidR="001963BF">
        <w:t>Adult Education</w:t>
      </w:r>
      <w:r w:rsidR="00731885">
        <w:t xml:space="preserve"> Consortium</w:t>
      </w:r>
      <w:r w:rsidR="001963BF">
        <w:t xml:space="preserve"> Providers</w:t>
      </w:r>
    </w:p>
    <w:p w14:paraId="1B6E3476" w14:textId="77777777" w:rsidR="00B00CD9" w:rsidRPr="003814D7" w:rsidRDefault="00D54F80" w:rsidP="002E05C3">
      <w:pPr>
        <w:spacing w:before="0" w:after="0"/>
        <w:ind w:firstLine="720"/>
      </w:pPr>
      <w:r>
        <w:tab/>
      </w:r>
      <w:r w:rsidR="00C55F02">
        <w:tab/>
      </w:r>
      <w:r w:rsidR="00C55F02">
        <w:tab/>
      </w:r>
      <w:r w:rsidR="00B00CD9" w:rsidRPr="003814D7">
        <w:tab/>
      </w:r>
      <w:r w:rsidR="00B00CD9" w:rsidRPr="003814D7">
        <w:tab/>
      </w:r>
    </w:p>
    <w:p w14:paraId="6DDF60CA" w14:textId="2D761B31" w:rsidR="00B00CD9" w:rsidRPr="003814D7" w:rsidRDefault="00B00CD9" w:rsidP="001E6D47">
      <w:pPr>
        <w:pStyle w:val="Heading1"/>
      </w:pPr>
      <w:r w:rsidRPr="003814D7">
        <w:rPr>
          <w:i w:val="0"/>
        </w:rPr>
        <w:t>From:</w:t>
      </w:r>
      <w:r w:rsidRPr="003814D7">
        <w:tab/>
      </w:r>
      <w:r w:rsidRPr="003814D7">
        <w:tab/>
      </w:r>
      <w:r w:rsidR="00B02BB0">
        <w:rPr>
          <w:i w:val="0"/>
        </w:rPr>
        <w:t>Gulf Coast Workforce Board</w:t>
      </w:r>
    </w:p>
    <w:p w14:paraId="1143D2C5" w14:textId="77777777" w:rsidR="00B00CD9" w:rsidRPr="003814D7" w:rsidRDefault="00B00CD9" w:rsidP="001E6D47">
      <w:pPr>
        <w:spacing w:before="0" w:after="0"/>
      </w:pPr>
    </w:p>
    <w:p w14:paraId="71F987AF" w14:textId="650DAFD8" w:rsidR="00B00CD9" w:rsidRPr="003814D7" w:rsidRDefault="00B00CD9" w:rsidP="003E0944">
      <w:pPr>
        <w:pStyle w:val="Heading7"/>
        <w:pBdr>
          <w:bottom w:val="single" w:sz="4" w:space="4" w:color="auto"/>
        </w:pBdr>
        <w:tabs>
          <w:tab w:val="left" w:pos="1440"/>
        </w:tabs>
        <w:ind w:left="1440" w:hanging="1440"/>
        <w:rPr>
          <w:szCs w:val="24"/>
        </w:rPr>
      </w:pPr>
      <w:r w:rsidRPr="003814D7">
        <w:t>Subject:</w:t>
      </w:r>
      <w:r w:rsidRPr="003814D7">
        <w:tab/>
      </w:r>
      <w:bookmarkStart w:id="0" w:name="_GoBack"/>
      <w:r w:rsidR="007D1836">
        <w:t>Implementing and Reporting Workforce Preparation Activities</w:t>
      </w:r>
      <w:r w:rsidR="00731885">
        <w:t xml:space="preserve"> </w:t>
      </w:r>
      <w:bookmarkEnd w:id="0"/>
    </w:p>
    <w:p w14:paraId="0CD746A7" w14:textId="77777777" w:rsidR="00CD685E" w:rsidRPr="00CD685E" w:rsidRDefault="00CD685E" w:rsidP="00CD685E">
      <w:pPr>
        <w:spacing w:before="0" w:after="0"/>
      </w:pPr>
    </w:p>
    <w:p w14:paraId="39BE34BB" w14:textId="48C3E325" w:rsidR="00CA7568" w:rsidRDefault="00601153" w:rsidP="00CA7568">
      <w:pPr>
        <w:pStyle w:val="Heading5"/>
        <w:spacing w:before="0" w:after="0"/>
        <w:contextualSpacing/>
        <w:rPr>
          <w:b w:val="0"/>
          <w:i w:val="0"/>
          <w:sz w:val="36"/>
          <w:szCs w:val="36"/>
        </w:rPr>
      </w:pPr>
      <w:r w:rsidRPr="00601153">
        <w:rPr>
          <w:b w:val="0"/>
          <w:i w:val="0"/>
          <w:sz w:val="36"/>
          <w:szCs w:val="36"/>
        </w:rPr>
        <w:t>Purpose</w:t>
      </w:r>
      <w:r w:rsidR="007D1836">
        <w:rPr>
          <w:b w:val="0"/>
          <w:i w:val="0"/>
          <w:sz w:val="36"/>
          <w:szCs w:val="36"/>
        </w:rPr>
        <w:t>:</w:t>
      </w:r>
    </w:p>
    <w:p w14:paraId="6400D54C" w14:textId="7C80AC31" w:rsidR="007D1836" w:rsidRPr="007D1836" w:rsidRDefault="007D1836" w:rsidP="007D1836">
      <w:pPr>
        <w:autoSpaceDE w:val="0"/>
        <w:autoSpaceDN w:val="0"/>
        <w:adjustRightInd w:val="0"/>
        <w:spacing w:before="0" w:after="0"/>
        <w:ind w:right="0"/>
        <w:rPr>
          <w:color w:val="000000"/>
          <w:sz w:val="23"/>
          <w:szCs w:val="23"/>
        </w:rPr>
      </w:pPr>
      <w:r w:rsidRPr="007D1836">
        <w:rPr>
          <w:color w:val="000000"/>
          <w:sz w:val="23"/>
          <w:szCs w:val="23"/>
        </w:rPr>
        <w:t xml:space="preserve">To provide Adult Education </w:t>
      </w:r>
      <w:r>
        <w:rPr>
          <w:color w:val="000000"/>
          <w:sz w:val="23"/>
          <w:szCs w:val="23"/>
        </w:rPr>
        <w:t>Consortium Providers</w:t>
      </w:r>
      <w:r w:rsidRPr="007D1836">
        <w:rPr>
          <w:color w:val="000000"/>
          <w:sz w:val="16"/>
          <w:szCs w:val="16"/>
        </w:rPr>
        <w:t xml:space="preserve"> </w:t>
      </w:r>
      <w:r w:rsidRPr="007D1836">
        <w:rPr>
          <w:color w:val="000000"/>
          <w:sz w:val="23"/>
          <w:szCs w:val="23"/>
        </w:rPr>
        <w:t>with information and guidance on implementing Workforce Preparation Activities.</w:t>
      </w:r>
      <w:r w:rsidRPr="007D1836">
        <w:rPr>
          <w:color w:val="000000"/>
          <w:sz w:val="16"/>
          <w:szCs w:val="16"/>
        </w:rPr>
        <w:t xml:space="preserve">2 </w:t>
      </w:r>
      <w:r w:rsidRPr="007D1836">
        <w:rPr>
          <w:color w:val="000000"/>
          <w:sz w:val="23"/>
          <w:szCs w:val="23"/>
        </w:rPr>
        <w:t xml:space="preserve">This </w:t>
      </w:r>
      <w:r>
        <w:rPr>
          <w:color w:val="000000"/>
          <w:sz w:val="23"/>
          <w:szCs w:val="23"/>
        </w:rPr>
        <w:t>WS</w:t>
      </w:r>
      <w:r w:rsidR="004F1A9B">
        <w:rPr>
          <w:color w:val="000000"/>
          <w:sz w:val="23"/>
          <w:szCs w:val="23"/>
        </w:rPr>
        <w:t xml:space="preserve"> Letter</w:t>
      </w:r>
      <w:r w:rsidRPr="007D1836">
        <w:rPr>
          <w:color w:val="000000"/>
          <w:sz w:val="23"/>
          <w:szCs w:val="23"/>
        </w:rPr>
        <w:t xml:space="preserve">: </w:t>
      </w:r>
    </w:p>
    <w:p w14:paraId="0F03BE5F" w14:textId="77777777" w:rsidR="007D1836" w:rsidRPr="007D1836" w:rsidRDefault="007D1836" w:rsidP="007D1836">
      <w:pPr>
        <w:autoSpaceDE w:val="0"/>
        <w:autoSpaceDN w:val="0"/>
        <w:adjustRightInd w:val="0"/>
        <w:spacing w:before="0" w:after="0"/>
        <w:ind w:right="0"/>
        <w:rPr>
          <w:color w:val="000000"/>
          <w:sz w:val="23"/>
          <w:szCs w:val="23"/>
        </w:rPr>
      </w:pPr>
      <w:r w:rsidRPr="007D1836">
        <w:rPr>
          <w:color w:val="000000"/>
          <w:sz w:val="23"/>
          <w:szCs w:val="23"/>
        </w:rPr>
        <w:t xml:space="preserve">• defines Workforce Preparation Activities; </w:t>
      </w:r>
    </w:p>
    <w:p w14:paraId="1DAAFC5C" w14:textId="77777777" w:rsidR="007D1836" w:rsidRPr="007D1836" w:rsidRDefault="007D1836" w:rsidP="007D1836">
      <w:pPr>
        <w:autoSpaceDE w:val="0"/>
        <w:autoSpaceDN w:val="0"/>
        <w:adjustRightInd w:val="0"/>
        <w:spacing w:before="0" w:after="0"/>
        <w:ind w:right="0"/>
        <w:rPr>
          <w:color w:val="000000"/>
          <w:sz w:val="23"/>
          <w:szCs w:val="23"/>
        </w:rPr>
      </w:pPr>
      <w:r w:rsidRPr="007D1836">
        <w:rPr>
          <w:color w:val="000000"/>
          <w:sz w:val="23"/>
          <w:szCs w:val="23"/>
        </w:rPr>
        <w:t xml:space="preserve">• differentiates Workforce Preparation Activities from Workforce Training; </w:t>
      </w:r>
    </w:p>
    <w:p w14:paraId="43A01197" w14:textId="77777777" w:rsidR="007D1836" w:rsidRPr="007D1836" w:rsidRDefault="007D1836" w:rsidP="007D1836">
      <w:pPr>
        <w:autoSpaceDE w:val="0"/>
        <w:autoSpaceDN w:val="0"/>
        <w:adjustRightInd w:val="0"/>
        <w:spacing w:before="0" w:after="0"/>
        <w:ind w:right="0"/>
        <w:rPr>
          <w:color w:val="000000"/>
          <w:sz w:val="23"/>
          <w:szCs w:val="23"/>
        </w:rPr>
      </w:pPr>
      <w:r w:rsidRPr="007D1836">
        <w:rPr>
          <w:color w:val="000000"/>
          <w:sz w:val="23"/>
          <w:szCs w:val="23"/>
        </w:rPr>
        <w:t xml:space="preserve">• describes Workforce Preparation Activities as part of the Integrated Education and Training (IET) service approach; </w:t>
      </w:r>
    </w:p>
    <w:p w14:paraId="6ECFA239" w14:textId="77777777" w:rsidR="007D1836" w:rsidRPr="007D1836" w:rsidRDefault="007D1836" w:rsidP="007D1836">
      <w:pPr>
        <w:autoSpaceDE w:val="0"/>
        <w:autoSpaceDN w:val="0"/>
        <w:adjustRightInd w:val="0"/>
        <w:spacing w:before="0" w:after="0"/>
        <w:ind w:right="0"/>
        <w:rPr>
          <w:color w:val="000000"/>
          <w:sz w:val="23"/>
          <w:szCs w:val="23"/>
        </w:rPr>
      </w:pPr>
      <w:r w:rsidRPr="007D1836">
        <w:rPr>
          <w:color w:val="000000"/>
          <w:sz w:val="23"/>
          <w:szCs w:val="23"/>
        </w:rPr>
        <w:t xml:space="preserve">• describes Workforce Preparation Activities as an AEL activity outside of IET; and </w:t>
      </w:r>
    </w:p>
    <w:p w14:paraId="34100DB9" w14:textId="10F1CCB4" w:rsidR="007D1836" w:rsidRPr="004F1A9B" w:rsidRDefault="007D1836" w:rsidP="004F1A9B">
      <w:pPr>
        <w:autoSpaceDE w:val="0"/>
        <w:autoSpaceDN w:val="0"/>
        <w:adjustRightInd w:val="0"/>
        <w:spacing w:before="0" w:after="0"/>
        <w:ind w:right="0"/>
        <w:rPr>
          <w:color w:val="000000"/>
          <w:sz w:val="23"/>
          <w:szCs w:val="23"/>
        </w:rPr>
      </w:pPr>
      <w:r w:rsidRPr="007D1836">
        <w:rPr>
          <w:color w:val="000000"/>
          <w:sz w:val="23"/>
          <w:szCs w:val="23"/>
        </w:rPr>
        <w:t xml:space="preserve">• outlines data reporting guidelines for Workforce Preparation Activities. </w:t>
      </w:r>
    </w:p>
    <w:p w14:paraId="2F674DE6" w14:textId="77777777" w:rsidR="00066B94" w:rsidRPr="00601153" w:rsidRDefault="00066B94" w:rsidP="00CF5663">
      <w:pPr>
        <w:spacing w:before="0" w:after="0"/>
      </w:pPr>
    </w:p>
    <w:p w14:paraId="2924338B" w14:textId="6223CC1A" w:rsidR="00601153" w:rsidRDefault="00AF691D" w:rsidP="00CF5663">
      <w:pPr>
        <w:pStyle w:val="Heading5"/>
        <w:spacing w:before="0" w:after="0"/>
        <w:rPr>
          <w:b w:val="0"/>
          <w:i w:val="0"/>
          <w:sz w:val="36"/>
          <w:szCs w:val="36"/>
        </w:rPr>
      </w:pPr>
      <w:r>
        <w:rPr>
          <w:b w:val="0"/>
          <w:i w:val="0"/>
          <w:sz w:val="36"/>
          <w:szCs w:val="36"/>
        </w:rPr>
        <w:t>Background</w:t>
      </w:r>
      <w:r w:rsidR="004F1A9B">
        <w:rPr>
          <w:b w:val="0"/>
          <w:i w:val="0"/>
          <w:sz w:val="36"/>
          <w:szCs w:val="36"/>
        </w:rPr>
        <w:t>:</w:t>
      </w:r>
    </w:p>
    <w:p w14:paraId="1259E255" w14:textId="0D843AB8" w:rsidR="004F1A9B" w:rsidRPr="004F1A9B" w:rsidRDefault="004F1A9B" w:rsidP="004F1A9B">
      <w:r>
        <w:rPr>
          <w:sz w:val="23"/>
          <w:szCs w:val="23"/>
        </w:rPr>
        <w:t>The Workforce Innovation and Opportunity Act (WIOA) strategically positions AEL to play an integral role within a broader, interconnected workforce development system and greatly expands the service-delivery options available to providers.</w:t>
      </w:r>
    </w:p>
    <w:p w14:paraId="2F5538C3" w14:textId="77777777" w:rsidR="004F1A9B" w:rsidRDefault="004F1A9B" w:rsidP="004F1A9B">
      <w:pPr>
        <w:pStyle w:val="Default"/>
        <w:rPr>
          <w:sz w:val="23"/>
          <w:szCs w:val="23"/>
        </w:rPr>
      </w:pPr>
      <w:r>
        <w:rPr>
          <w:sz w:val="23"/>
          <w:szCs w:val="23"/>
        </w:rPr>
        <w:t xml:space="preserve">WIOA authorizes the use of funds for the development and delivery of Workforce Preparation Activities as a critical tool that AEL providers can use to support students in: </w:t>
      </w:r>
    </w:p>
    <w:p w14:paraId="736F5133" w14:textId="77777777" w:rsidR="004F1A9B" w:rsidRDefault="004F1A9B" w:rsidP="004F1A9B">
      <w:pPr>
        <w:pStyle w:val="Default"/>
        <w:rPr>
          <w:sz w:val="23"/>
          <w:szCs w:val="23"/>
        </w:rPr>
      </w:pPr>
      <w:r>
        <w:rPr>
          <w:sz w:val="23"/>
          <w:szCs w:val="23"/>
        </w:rPr>
        <w:t xml:space="preserve">• increasing employment outcomes; </w:t>
      </w:r>
    </w:p>
    <w:p w14:paraId="108B12DB" w14:textId="77777777" w:rsidR="004F1A9B" w:rsidRDefault="004F1A9B" w:rsidP="004F1A9B">
      <w:pPr>
        <w:pStyle w:val="Default"/>
        <w:rPr>
          <w:sz w:val="23"/>
          <w:szCs w:val="23"/>
        </w:rPr>
      </w:pPr>
      <w:r>
        <w:rPr>
          <w:sz w:val="23"/>
          <w:szCs w:val="23"/>
        </w:rPr>
        <w:t xml:space="preserve">• postsecondary education and training transition and completion; </w:t>
      </w:r>
    </w:p>
    <w:p w14:paraId="425F22D1" w14:textId="77777777" w:rsidR="004F1A9B" w:rsidRDefault="004F1A9B" w:rsidP="004F1A9B">
      <w:pPr>
        <w:pStyle w:val="Default"/>
        <w:rPr>
          <w:sz w:val="23"/>
          <w:szCs w:val="23"/>
        </w:rPr>
      </w:pPr>
      <w:r>
        <w:rPr>
          <w:sz w:val="23"/>
          <w:szCs w:val="23"/>
        </w:rPr>
        <w:t xml:space="preserve">• skills gains; and </w:t>
      </w:r>
    </w:p>
    <w:p w14:paraId="56C77BCC" w14:textId="77777777" w:rsidR="004F1A9B" w:rsidRDefault="004F1A9B" w:rsidP="004F1A9B">
      <w:pPr>
        <w:pStyle w:val="Default"/>
        <w:rPr>
          <w:sz w:val="23"/>
          <w:szCs w:val="23"/>
        </w:rPr>
      </w:pPr>
      <w:r>
        <w:rPr>
          <w:sz w:val="23"/>
          <w:szCs w:val="23"/>
        </w:rPr>
        <w:t xml:space="preserve">• high school equivalency completion. </w:t>
      </w:r>
    </w:p>
    <w:p w14:paraId="3DE53313" w14:textId="77777777" w:rsidR="004F1A9B" w:rsidRDefault="004F1A9B" w:rsidP="004F1A9B">
      <w:pPr>
        <w:pStyle w:val="Default"/>
        <w:rPr>
          <w:sz w:val="23"/>
          <w:szCs w:val="23"/>
        </w:rPr>
      </w:pPr>
    </w:p>
    <w:p w14:paraId="6A8A6E40" w14:textId="1CE5444F" w:rsidR="00731885" w:rsidRDefault="004F1A9B" w:rsidP="004F1A9B">
      <w:pPr>
        <w:spacing w:before="0" w:after="0"/>
        <w:rPr>
          <w:color w:val="000000"/>
          <w:sz w:val="23"/>
          <w:szCs w:val="23"/>
        </w:rPr>
      </w:pPr>
      <w:r>
        <w:rPr>
          <w:sz w:val="23"/>
          <w:szCs w:val="23"/>
        </w:rPr>
        <w:t>As one of three core components of IET, Workforce Preparation Activities are required in IET program curricula.</w:t>
      </w:r>
    </w:p>
    <w:p w14:paraId="5D1E8503" w14:textId="77777777" w:rsidR="004F1A9B" w:rsidRDefault="004F1A9B" w:rsidP="007F38CB">
      <w:pPr>
        <w:pStyle w:val="Heading5"/>
        <w:spacing w:before="0" w:after="0"/>
        <w:rPr>
          <w:b w:val="0"/>
          <w:i w:val="0"/>
          <w:sz w:val="36"/>
          <w:szCs w:val="36"/>
        </w:rPr>
      </w:pPr>
    </w:p>
    <w:p w14:paraId="58ACC2BA" w14:textId="0830A459" w:rsidR="007F38CB" w:rsidRDefault="007F38CB" w:rsidP="007F38CB">
      <w:pPr>
        <w:pStyle w:val="Heading5"/>
        <w:spacing w:before="0" w:after="0"/>
        <w:rPr>
          <w:b w:val="0"/>
          <w:i w:val="0"/>
          <w:sz w:val="36"/>
          <w:szCs w:val="36"/>
        </w:rPr>
      </w:pPr>
      <w:r w:rsidRPr="0083551F">
        <w:rPr>
          <w:b w:val="0"/>
          <w:i w:val="0"/>
          <w:sz w:val="36"/>
          <w:szCs w:val="36"/>
        </w:rPr>
        <w:t>Action</w:t>
      </w:r>
      <w:r w:rsidR="004F1A9B">
        <w:rPr>
          <w:b w:val="0"/>
          <w:i w:val="0"/>
          <w:sz w:val="36"/>
          <w:szCs w:val="36"/>
        </w:rPr>
        <w:t>:</w:t>
      </w:r>
    </w:p>
    <w:p w14:paraId="6ED17DFF" w14:textId="711346E4" w:rsidR="004F1A9B" w:rsidRPr="004F1A9B" w:rsidRDefault="00376E9B" w:rsidP="004F1A9B">
      <w:pPr>
        <w:autoSpaceDE w:val="0"/>
        <w:autoSpaceDN w:val="0"/>
        <w:adjustRightInd w:val="0"/>
        <w:spacing w:before="0" w:after="0"/>
        <w:ind w:right="0"/>
        <w:rPr>
          <w:color w:val="000000"/>
          <w:sz w:val="23"/>
          <w:szCs w:val="23"/>
        </w:rPr>
      </w:pPr>
      <w:r>
        <w:rPr>
          <w:color w:val="000000"/>
          <w:sz w:val="23"/>
          <w:szCs w:val="23"/>
        </w:rPr>
        <w:t>Adult Education Consortium Providers</w:t>
      </w:r>
      <w:r w:rsidR="004F1A9B" w:rsidRPr="004F1A9B">
        <w:rPr>
          <w:color w:val="000000"/>
          <w:sz w:val="23"/>
          <w:szCs w:val="23"/>
        </w:rPr>
        <w:t xml:space="preserve"> must be aware of the following definitions: </w:t>
      </w:r>
    </w:p>
    <w:p w14:paraId="75DB8F80" w14:textId="77777777" w:rsidR="004F1A9B" w:rsidRPr="004F1A9B" w:rsidRDefault="004F1A9B" w:rsidP="004F1A9B">
      <w:pPr>
        <w:autoSpaceDE w:val="0"/>
        <w:autoSpaceDN w:val="0"/>
        <w:adjustRightInd w:val="0"/>
        <w:spacing w:before="0" w:after="0"/>
        <w:ind w:right="0"/>
        <w:rPr>
          <w:color w:val="000000"/>
          <w:sz w:val="23"/>
          <w:szCs w:val="23"/>
        </w:rPr>
      </w:pPr>
      <w:r w:rsidRPr="004F1A9B">
        <w:rPr>
          <w:b/>
          <w:bCs/>
          <w:color w:val="000000"/>
          <w:sz w:val="23"/>
          <w:szCs w:val="23"/>
        </w:rPr>
        <w:t>Digital literacy—</w:t>
      </w:r>
      <w:r w:rsidRPr="004F1A9B">
        <w:rPr>
          <w:color w:val="000000"/>
          <w:sz w:val="23"/>
          <w:szCs w:val="23"/>
        </w:rPr>
        <w:t xml:space="preserve">The skills associated with using technology to enable users to find, evaluate, organize, create, and communicate information. </w:t>
      </w:r>
    </w:p>
    <w:p w14:paraId="031D290D" w14:textId="77777777" w:rsidR="004F1A9B" w:rsidRPr="004F1A9B" w:rsidRDefault="004F1A9B" w:rsidP="004F1A9B">
      <w:pPr>
        <w:autoSpaceDE w:val="0"/>
        <w:autoSpaceDN w:val="0"/>
        <w:adjustRightInd w:val="0"/>
        <w:spacing w:before="0" w:after="0"/>
        <w:ind w:right="0"/>
        <w:rPr>
          <w:color w:val="000000"/>
          <w:sz w:val="23"/>
          <w:szCs w:val="23"/>
        </w:rPr>
      </w:pPr>
      <w:r w:rsidRPr="004F1A9B">
        <w:rPr>
          <w:b/>
          <w:bCs/>
          <w:color w:val="000000"/>
          <w:sz w:val="23"/>
          <w:szCs w:val="23"/>
        </w:rPr>
        <w:lastRenderedPageBreak/>
        <w:t>Individual Training, Education, and Career Plan (ITEC Plan)</w:t>
      </w:r>
      <w:r w:rsidRPr="004F1A9B">
        <w:rPr>
          <w:color w:val="000000"/>
          <w:sz w:val="23"/>
          <w:szCs w:val="23"/>
        </w:rPr>
        <w:t xml:space="preserve">—A plan for the student to meet educational and career goals, designed to promote a discussion and set forth a strategy. The plan delineates short- and long-term goals and their implementation steps. </w:t>
      </w:r>
    </w:p>
    <w:p w14:paraId="10BC7B77" w14:textId="77777777" w:rsidR="004F1A9B" w:rsidRPr="004F1A9B" w:rsidRDefault="004F1A9B" w:rsidP="004F1A9B">
      <w:pPr>
        <w:autoSpaceDE w:val="0"/>
        <w:autoSpaceDN w:val="0"/>
        <w:adjustRightInd w:val="0"/>
        <w:spacing w:before="0" w:after="0"/>
        <w:ind w:right="0"/>
        <w:rPr>
          <w:color w:val="000000"/>
          <w:sz w:val="23"/>
          <w:szCs w:val="23"/>
        </w:rPr>
      </w:pPr>
      <w:r w:rsidRPr="004F1A9B">
        <w:rPr>
          <w:b/>
          <w:bCs/>
          <w:color w:val="000000"/>
          <w:sz w:val="23"/>
          <w:szCs w:val="23"/>
        </w:rPr>
        <w:t xml:space="preserve">On-Ramp to Postsecondary Education or Training (On-ramp program)— </w:t>
      </w:r>
    </w:p>
    <w:p w14:paraId="29D9505D" w14:textId="77777777" w:rsidR="004F1A9B" w:rsidRPr="004F1A9B" w:rsidRDefault="004F1A9B" w:rsidP="004F1A9B">
      <w:pPr>
        <w:autoSpaceDE w:val="0"/>
        <w:autoSpaceDN w:val="0"/>
        <w:adjustRightInd w:val="0"/>
        <w:spacing w:before="0" w:after="0"/>
        <w:ind w:right="0"/>
        <w:rPr>
          <w:color w:val="000000"/>
          <w:sz w:val="23"/>
          <w:szCs w:val="23"/>
        </w:rPr>
      </w:pPr>
      <w:r w:rsidRPr="004F1A9B">
        <w:rPr>
          <w:color w:val="000000"/>
          <w:sz w:val="23"/>
          <w:szCs w:val="23"/>
        </w:rPr>
        <w:t>A class or program, also referred to as a bridge or transition class, t</w:t>
      </w:r>
      <w:r w:rsidRPr="004F1A9B">
        <w:rPr>
          <w:color w:val="020711"/>
          <w:sz w:val="23"/>
          <w:szCs w:val="23"/>
        </w:rPr>
        <w:t xml:space="preserve">hat prepares adults to enter and succeed in postsecondary education and training. On-ramp programs can </w:t>
      </w:r>
      <w:r w:rsidRPr="004F1A9B">
        <w:rPr>
          <w:color w:val="000000"/>
          <w:sz w:val="23"/>
          <w:szCs w:val="23"/>
        </w:rPr>
        <w:t xml:space="preserve">run several days, weeks, or longer, and can </w:t>
      </w:r>
      <w:r w:rsidRPr="004F1A9B">
        <w:rPr>
          <w:color w:val="020711"/>
          <w:sz w:val="23"/>
          <w:szCs w:val="23"/>
        </w:rPr>
        <w:t xml:space="preserve">address </w:t>
      </w:r>
      <w:r w:rsidRPr="004F1A9B">
        <w:rPr>
          <w:color w:val="000000"/>
          <w:sz w:val="23"/>
          <w:szCs w:val="23"/>
        </w:rPr>
        <w:t xml:space="preserve">the following topics, content, and activities: </w:t>
      </w:r>
    </w:p>
    <w:p w14:paraId="10ECB8E2" w14:textId="77777777" w:rsidR="004F1A9B" w:rsidRPr="004F1A9B" w:rsidRDefault="004F1A9B" w:rsidP="004F1A9B">
      <w:pPr>
        <w:autoSpaceDE w:val="0"/>
        <w:autoSpaceDN w:val="0"/>
        <w:adjustRightInd w:val="0"/>
        <w:spacing w:before="0" w:after="0"/>
        <w:ind w:right="0"/>
        <w:rPr>
          <w:color w:val="000000"/>
          <w:sz w:val="23"/>
          <w:szCs w:val="23"/>
        </w:rPr>
      </w:pPr>
      <w:r w:rsidRPr="004F1A9B">
        <w:rPr>
          <w:color w:val="000000"/>
          <w:sz w:val="23"/>
          <w:szCs w:val="23"/>
        </w:rPr>
        <w:t xml:space="preserve">• Preparation for college or Workforce Training, including the development of college knowledge in the areas of </w:t>
      </w:r>
      <w:proofErr w:type="gramStart"/>
      <w:r w:rsidRPr="004F1A9B">
        <w:rPr>
          <w:color w:val="000000"/>
          <w:sz w:val="23"/>
          <w:szCs w:val="23"/>
        </w:rPr>
        <w:t>note-taking</w:t>
      </w:r>
      <w:proofErr w:type="gramEnd"/>
      <w:r w:rsidRPr="004F1A9B">
        <w:rPr>
          <w:color w:val="000000"/>
          <w:sz w:val="23"/>
          <w:szCs w:val="23"/>
        </w:rPr>
        <w:t xml:space="preserve">, academic advising, time management, study habits, and digital literacy; </w:t>
      </w:r>
    </w:p>
    <w:p w14:paraId="647D794F" w14:textId="77777777" w:rsidR="004F1A9B" w:rsidRPr="004F1A9B" w:rsidRDefault="004F1A9B" w:rsidP="004F1A9B">
      <w:pPr>
        <w:autoSpaceDE w:val="0"/>
        <w:autoSpaceDN w:val="0"/>
        <w:adjustRightInd w:val="0"/>
        <w:spacing w:before="0" w:after="0"/>
        <w:ind w:right="0"/>
        <w:rPr>
          <w:color w:val="000000"/>
          <w:sz w:val="23"/>
          <w:szCs w:val="23"/>
        </w:rPr>
      </w:pPr>
      <w:r w:rsidRPr="004F1A9B">
        <w:rPr>
          <w:color w:val="000000"/>
          <w:sz w:val="23"/>
          <w:szCs w:val="23"/>
        </w:rPr>
        <w:t xml:space="preserve">• Career development that includes career exploration, career planning, employment expectations, and work culture for an occupation or sector; </w:t>
      </w:r>
    </w:p>
    <w:p w14:paraId="3CA3C948" w14:textId="77777777" w:rsidR="004F1A9B" w:rsidRPr="004F1A9B" w:rsidRDefault="004F1A9B" w:rsidP="004F1A9B">
      <w:pPr>
        <w:autoSpaceDE w:val="0"/>
        <w:autoSpaceDN w:val="0"/>
        <w:adjustRightInd w:val="0"/>
        <w:spacing w:before="0" w:after="0"/>
        <w:ind w:right="0"/>
        <w:rPr>
          <w:color w:val="000000"/>
          <w:sz w:val="23"/>
          <w:szCs w:val="23"/>
        </w:rPr>
      </w:pPr>
      <w:r w:rsidRPr="004F1A9B">
        <w:rPr>
          <w:color w:val="000000"/>
          <w:sz w:val="23"/>
          <w:szCs w:val="23"/>
        </w:rPr>
        <w:t xml:space="preserve">• Meeting with career navigators, college advising, or case management staff to customize an ITEC Plan; </w:t>
      </w:r>
    </w:p>
    <w:p w14:paraId="3EA7AF51" w14:textId="6A307F9A" w:rsidR="004F1A9B" w:rsidRPr="00376E9B" w:rsidRDefault="004F1A9B" w:rsidP="00376E9B">
      <w:pPr>
        <w:autoSpaceDE w:val="0"/>
        <w:autoSpaceDN w:val="0"/>
        <w:adjustRightInd w:val="0"/>
        <w:spacing w:before="0" w:after="0"/>
        <w:ind w:right="0"/>
        <w:rPr>
          <w:color w:val="000000"/>
          <w:sz w:val="23"/>
          <w:szCs w:val="23"/>
        </w:rPr>
      </w:pPr>
      <w:r w:rsidRPr="004F1A9B">
        <w:rPr>
          <w:color w:val="000000"/>
          <w:sz w:val="23"/>
          <w:szCs w:val="23"/>
        </w:rPr>
        <w:t>• Guest lectures from employers, former students, and faculty;</w:t>
      </w:r>
    </w:p>
    <w:p w14:paraId="39800531" w14:textId="77777777" w:rsidR="004F1A9B" w:rsidRPr="004F1A9B" w:rsidRDefault="004F1A9B" w:rsidP="004F1A9B">
      <w:pPr>
        <w:autoSpaceDE w:val="0"/>
        <w:autoSpaceDN w:val="0"/>
        <w:adjustRightInd w:val="0"/>
        <w:spacing w:before="0" w:after="0"/>
        <w:ind w:right="0"/>
        <w:rPr>
          <w:color w:val="000000"/>
          <w:sz w:val="23"/>
          <w:szCs w:val="23"/>
        </w:rPr>
      </w:pPr>
      <w:r w:rsidRPr="004F1A9B">
        <w:rPr>
          <w:color w:val="000000"/>
          <w:sz w:val="23"/>
          <w:szCs w:val="23"/>
        </w:rPr>
        <w:t xml:space="preserve">• Referrals to individual Supportive Services (for example, transportation, </w:t>
      </w:r>
      <w:proofErr w:type="gramStart"/>
      <w:r w:rsidRPr="004F1A9B">
        <w:rPr>
          <w:color w:val="000000"/>
          <w:sz w:val="23"/>
          <w:szCs w:val="23"/>
        </w:rPr>
        <w:t>child care</w:t>
      </w:r>
      <w:proofErr w:type="gramEnd"/>
      <w:r w:rsidRPr="004F1A9B">
        <w:rPr>
          <w:color w:val="000000"/>
          <w:sz w:val="23"/>
          <w:szCs w:val="23"/>
        </w:rPr>
        <w:t xml:space="preserve">, and housing assistance); and </w:t>
      </w:r>
    </w:p>
    <w:p w14:paraId="7F53EBDC" w14:textId="77777777" w:rsidR="004F1A9B" w:rsidRPr="004F1A9B" w:rsidRDefault="004F1A9B" w:rsidP="004F1A9B">
      <w:pPr>
        <w:autoSpaceDE w:val="0"/>
        <w:autoSpaceDN w:val="0"/>
        <w:adjustRightInd w:val="0"/>
        <w:spacing w:before="0" w:after="0"/>
        <w:ind w:right="0"/>
        <w:rPr>
          <w:color w:val="000000"/>
          <w:sz w:val="23"/>
          <w:szCs w:val="23"/>
        </w:rPr>
      </w:pPr>
      <w:r w:rsidRPr="004F1A9B">
        <w:rPr>
          <w:color w:val="000000"/>
          <w:sz w:val="23"/>
          <w:szCs w:val="23"/>
        </w:rPr>
        <w:t xml:space="preserve">• Intensive academic readiness and remediation for student success supporting transition to postsecondary education and training. </w:t>
      </w:r>
    </w:p>
    <w:p w14:paraId="518C4690" w14:textId="77777777" w:rsidR="004F1A9B" w:rsidRPr="004F1A9B" w:rsidRDefault="004F1A9B" w:rsidP="004F1A9B">
      <w:pPr>
        <w:autoSpaceDE w:val="0"/>
        <w:autoSpaceDN w:val="0"/>
        <w:adjustRightInd w:val="0"/>
        <w:spacing w:before="0" w:after="0"/>
        <w:ind w:right="0"/>
        <w:rPr>
          <w:color w:val="000000"/>
          <w:sz w:val="23"/>
          <w:szCs w:val="23"/>
        </w:rPr>
      </w:pPr>
    </w:p>
    <w:p w14:paraId="0D7BF508" w14:textId="77777777" w:rsidR="004F1A9B" w:rsidRPr="004F1A9B" w:rsidRDefault="004F1A9B" w:rsidP="004F1A9B">
      <w:pPr>
        <w:autoSpaceDE w:val="0"/>
        <w:autoSpaceDN w:val="0"/>
        <w:adjustRightInd w:val="0"/>
        <w:spacing w:before="0" w:after="0"/>
        <w:ind w:right="0"/>
        <w:rPr>
          <w:color w:val="000000"/>
          <w:sz w:val="23"/>
          <w:szCs w:val="23"/>
        </w:rPr>
      </w:pPr>
      <w:r w:rsidRPr="004F1A9B">
        <w:rPr>
          <w:color w:val="000000"/>
          <w:sz w:val="23"/>
          <w:szCs w:val="23"/>
        </w:rPr>
        <w:t xml:space="preserve">On-ramp programs often support student success by ensuring that students understand and are committed to the duration and intensity of the training program, have developed arrangements to mitigate work and personal obligations that might impede program completion, and are well-informed about resulting employment options and expectations to support employment success. </w:t>
      </w:r>
    </w:p>
    <w:p w14:paraId="6773EAE7" w14:textId="77777777" w:rsidR="004F1A9B" w:rsidRPr="004F1A9B" w:rsidRDefault="004F1A9B" w:rsidP="004F1A9B">
      <w:pPr>
        <w:autoSpaceDE w:val="0"/>
        <w:autoSpaceDN w:val="0"/>
        <w:adjustRightInd w:val="0"/>
        <w:spacing w:before="0" w:after="0"/>
        <w:ind w:right="0"/>
        <w:rPr>
          <w:color w:val="000000"/>
          <w:sz w:val="23"/>
          <w:szCs w:val="23"/>
        </w:rPr>
      </w:pPr>
      <w:r w:rsidRPr="004F1A9B">
        <w:rPr>
          <w:b/>
          <w:bCs/>
          <w:color w:val="000000"/>
          <w:sz w:val="23"/>
          <w:szCs w:val="23"/>
        </w:rPr>
        <w:t>Workforce Preparation Activities—</w:t>
      </w:r>
      <w:r w:rsidRPr="004F1A9B">
        <w:rPr>
          <w:color w:val="000000"/>
          <w:sz w:val="23"/>
          <w:szCs w:val="23"/>
        </w:rPr>
        <w:t xml:space="preserve">Activities, programs, or services designed to help an individual acquire a combination of basic academic skills, critical thinking skills, digital literacy skills, and self-management skills, including competencies in the following: </w:t>
      </w:r>
    </w:p>
    <w:p w14:paraId="65078631" w14:textId="77777777" w:rsidR="004F1A9B" w:rsidRPr="004F1A9B" w:rsidRDefault="004F1A9B" w:rsidP="004F1A9B">
      <w:pPr>
        <w:autoSpaceDE w:val="0"/>
        <w:autoSpaceDN w:val="0"/>
        <w:adjustRightInd w:val="0"/>
        <w:spacing w:before="0" w:after="0"/>
        <w:ind w:right="0"/>
        <w:rPr>
          <w:color w:val="000000"/>
          <w:sz w:val="23"/>
          <w:szCs w:val="23"/>
        </w:rPr>
      </w:pPr>
      <w:r w:rsidRPr="004F1A9B">
        <w:rPr>
          <w:color w:val="000000"/>
          <w:sz w:val="23"/>
          <w:szCs w:val="23"/>
        </w:rPr>
        <w:t xml:space="preserve">• Using resources; </w:t>
      </w:r>
    </w:p>
    <w:p w14:paraId="6CB403AE" w14:textId="77777777" w:rsidR="004F1A9B" w:rsidRPr="004F1A9B" w:rsidRDefault="004F1A9B" w:rsidP="004F1A9B">
      <w:pPr>
        <w:autoSpaceDE w:val="0"/>
        <w:autoSpaceDN w:val="0"/>
        <w:adjustRightInd w:val="0"/>
        <w:spacing w:before="0" w:after="0"/>
        <w:ind w:right="0"/>
        <w:rPr>
          <w:color w:val="000000"/>
          <w:sz w:val="23"/>
          <w:szCs w:val="23"/>
        </w:rPr>
      </w:pPr>
      <w:r w:rsidRPr="004F1A9B">
        <w:rPr>
          <w:color w:val="000000"/>
          <w:sz w:val="23"/>
          <w:szCs w:val="23"/>
        </w:rPr>
        <w:t xml:space="preserve">• Using information; </w:t>
      </w:r>
    </w:p>
    <w:p w14:paraId="50FE0A0B" w14:textId="77777777" w:rsidR="004F1A9B" w:rsidRPr="004F1A9B" w:rsidRDefault="004F1A9B" w:rsidP="004F1A9B">
      <w:pPr>
        <w:autoSpaceDE w:val="0"/>
        <w:autoSpaceDN w:val="0"/>
        <w:adjustRightInd w:val="0"/>
        <w:spacing w:before="0" w:after="0"/>
        <w:ind w:right="0"/>
        <w:rPr>
          <w:color w:val="000000"/>
          <w:sz w:val="23"/>
          <w:szCs w:val="23"/>
        </w:rPr>
      </w:pPr>
      <w:r w:rsidRPr="004F1A9B">
        <w:rPr>
          <w:color w:val="000000"/>
          <w:sz w:val="23"/>
          <w:szCs w:val="23"/>
        </w:rPr>
        <w:t xml:space="preserve">• Working with others; </w:t>
      </w:r>
    </w:p>
    <w:p w14:paraId="3CD42E20" w14:textId="77777777" w:rsidR="004F1A9B" w:rsidRPr="004F1A9B" w:rsidRDefault="004F1A9B" w:rsidP="004F1A9B">
      <w:pPr>
        <w:autoSpaceDE w:val="0"/>
        <w:autoSpaceDN w:val="0"/>
        <w:adjustRightInd w:val="0"/>
        <w:spacing w:before="0" w:after="0"/>
        <w:ind w:right="0"/>
        <w:rPr>
          <w:color w:val="000000"/>
          <w:sz w:val="23"/>
          <w:szCs w:val="23"/>
        </w:rPr>
      </w:pPr>
      <w:r w:rsidRPr="004F1A9B">
        <w:rPr>
          <w:color w:val="000000"/>
          <w:sz w:val="23"/>
          <w:szCs w:val="23"/>
        </w:rPr>
        <w:t xml:space="preserve">• Understanding systems; </w:t>
      </w:r>
    </w:p>
    <w:p w14:paraId="32FA4B35" w14:textId="77777777" w:rsidR="004F1A9B" w:rsidRPr="004F1A9B" w:rsidRDefault="004F1A9B" w:rsidP="004F1A9B">
      <w:pPr>
        <w:autoSpaceDE w:val="0"/>
        <w:autoSpaceDN w:val="0"/>
        <w:adjustRightInd w:val="0"/>
        <w:spacing w:before="0" w:after="0"/>
        <w:ind w:right="0"/>
        <w:rPr>
          <w:color w:val="000000"/>
          <w:sz w:val="23"/>
          <w:szCs w:val="23"/>
        </w:rPr>
      </w:pPr>
      <w:r w:rsidRPr="004F1A9B">
        <w:rPr>
          <w:color w:val="000000"/>
          <w:sz w:val="23"/>
          <w:szCs w:val="23"/>
        </w:rPr>
        <w:t xml:space="preserve">• Skills necessary for successful transition into and completion of postsecondary education, training, or employment; and </w:t>
      </w:r>
    </w:p>
    <w:p w14:paraId="4723F1F7" w14:textId="77777777" w:rsidR="004F1A9B" w:rsidRPr="004F1A9B" w:rsidRDefault="004F1A9B" w:rsidP="004F1A9B">
      <w:pPr>
        <w:autoSpaceDE w:val="0"/>
        <w:autoSpaceDN w:val="0"/>
        <w:adjustRightInd w:val="0"/>
        <w:spacing w:before="0" w:after="0"/>
        <w:ind w:right="0"/>
        <w:rPr>
          <w:color w:val="000000"/>
          <w:sz w:val="23"/>
          <w:szCs w:val="23"/>
        </w:rPr>
      </w:pPr>
      <w:r w:rsidRPr="004F1A9B">
        <w:rPr>
          <w:color w:val="000000"/>
          <w:sz w:val="23"/>
          <w:szCs w:val="23"/>
        </w:rPr>
        <w:t xml:space="preserve">• Other employability skills that increase an individual’s preparation for the workforce. </w:t>
      </w:r>
    </w:p>
    <w:p w14:paraId="4D1D962A" w14:textId="54888380" w:rsidR="004F1A9B" w:rsidRDefault="00E12BA4" w:rsidP="00E12BA4">
      <w:pPr>
        <w:rPr>
          <w:sz w:val="23"/>
          <w:szCs w:val="23"/>
        </w:rPr>
      </w:pPr>
      <w:r>
        <w:rPr>
          <w:sz w:val="23"/>
          <w:szCs w:val="23"/>
        </w:rPr>
        <w:t>Adult Education Consortium Providers must be aware that Workforce Preparation Activities are not the same as Workforce Training because, in isolation, Workforce Preparation Activities do not teach skills that allow an individual to attain a recognized postsecondary credential and enter or advance in employment for a specific occupation.</w:t>
      </w:r>
    </w:p>
    <w:p w14:paraId="0CD8F790" w14:textId="483A57E4" w:rsidR="00E12BA4" w:rsidRPr="00E12BA4" w:rsidRDefault="00E12BA4" w:rsidP="00E12BA4">
      <w:pPr>
        <w:autoSpaceDE w:val="0"/>
        <w:autoSpaceDN w:val="0"/>
        <w:adjustRightInd w:val="0"/>
        <w:spacing w:before="0" w:after="0"/>
        <w:ind w:right="0"/>
        <w:rPr>
          <w:color w:val="000000"/>
          <w:sz w:val="23"/>
          <w:szCs w:val="23"/>
        </w:rPr>
      </w:pPr>
      <w:r>
        <w:rPr>
          <w:color w:val="000000"/>
          <w:sz w:val="23"/>
          <w:szCs w:val="23"/>
        </w:rPr>
        <w:t>Adult Education Consortium Providers</w:t>
      </w:r>
      <w:r w:rsidRPr="00E12BA4">
        <w:rPr>
          <w:color w:val="000000"/>
          <w:sz w:val="23"/>
          <w:szCs w:val="23"/>
        </w:rPr>
        <w:t xml:space="preserve"> are encouraged to be aware that Workforce Preparation Activities may be implemented independent of an IET program in a variety of ways, to support life-long learning, implementation of the Texas AEL Content Standards, successful transition into and completion of postsecondary education and training, and enhancement of employment preparation or advancement, as activities, programs, or services, including as: </w:t>
      </w:r>
    </w:p>
    <w:p w14:paraId="7A9DFF7D" w14:textId="77777777" w:rsidR="00E12BA4" w:rsidRPr="00E12BA4" w:rsidRDefault="00E12BA4" w:rsidP="00E12BA4">
      <w:pPr>
        <w:autoSpaceDE w:val="0"/>
        <w:autoSpaceDN w:val="0"/>
        <w:adjustRightInd w:val="0"/>
        <w:spacing w:before="0" w:after="0"/>
        <w:ind w:right="0"/>
        <w:rPr>
          <w:color w:val="000000"/>
          <w:sz w:val="23"/>
          <w:szCs w:val="23"/>
        </w:rPr>
      </w:pPr>
      <w:r w:rsidRPr="00E12BA4">
        <w:rPr>
          <w:color w:val="000000"/>
          <w:sz w:val="23"/>
          <w:szCs w:val="23"/>
        </w:rPr>
        <w:t xml:space="preserve">• the context for general basic academic skills and English as a second language (ESL) curriculum (for example, an ESL curriculum module on employment norms and expectations in the United states </w:t>
      </w:r>
      <w:r w:rsidRPr="00E12BA4">
        <w:rPr>
          <w:color w:val="000000"/>
          <w:sz w:val="23"/>
          <w:szCs w:val="23"/>
        </w:rPr>
        <w:lastRenderedPageBreak/>
        <w:t xml:space="preserve">or a high school equivalency curriculum module on preparing for a successful first semester in college); or </w:t>
      </w:r>
    </w:p>
    <w:p w14:paraId="1A5F56BF" w14:textId="77777777" w:rsidR="00E12BA4" w:rsidRPr="00E12BA4" w:rsidRDefault="00E12BA4" w:rsidP="00E12BA4">
      <w:pPr>
        <w:autoSpaceDE w:val="0"/>
        <w:autoSpaceDN w:val="0"/>
        <w:adjustRightInd w:val="0"/>
        <w:spacing w:before="0" w:after="0"/>
        <w:ind w:right="0"/>
        <w:rPr>
          <w:color w:val="000000"/>
          <w:sz w:val="23"/>
          <w:szCs w:val="23"/>
        </w:rPr>
      </w:pPr>
      <w:r w:rsidRPr="00E12BA4">
        <w:rPr>
          <w:color w:val="000000"/>
          <w:sz w:val="23"/>
          <w:szCs w:val="23"/>
        </w:rPr>
        <w:t xml:space="preserve">• part of an on-ramp program; </w:t>
      </w:r>
    </w:p>
    <w:p w14:paraId="1E84FCC1" w14:textId="77777777" w:rsidR="00E12BA4" w:rsidRDefault="00E12BA4" w:rsidP="00E12BA4">
      <w:pPr>
        <w:pStyle w:val="Default"/>
        <w:rPr>
          <w:sz w:val="23"/>
          <w:szCs w:val="23"/>
        </w:rPr>
      </w:pPr>
    </w:p>
    <w:p w14:paraId="1429A3C3" w14:textId="24C19BF0" w:rsidR="00E12BA4" w:rsidRDefault="00E12BA4" w:rsidP="00E12BA4">
      <w:pPr>
        <w:pStyle w:val="Default"/>
        <w:rPr>
          <w:sz w:val="23"/>
          <w:szCs w:val="23"/>
        </w:rPr>
      </w:pPr>
      <w:r>
        <w:rPr>
          <w:sz w:val="23"/>
          <w:szCs w:val="23"/>
        </w:rPr>
        <w:t>Adult Education Consortium Providers must incorporate Workforce Preparation Activities simultaneously at points within the overall scope of an IET program to support the Workforce Training, adult education and literacy, and employment transition components of the program design.</w:t>
      </w:r>
    </w:p>
    <w:p w14:paraId="32880F78" w14:textId="21BEF66B" w:rsidR="00E12BA4" w:rsidRDefault="00E12BA4" w:rsidP="00E12BA4">
      <w:pPr>
        <w:pStyle w:val="Default"/>
        <w:rPr>
          <w:sz w:val="23"/>
          <w:szCs w:val="23"/>
        </w:rPr>
      </w:pPr>
    </w:p>
    <w:p w14:paraId="360039E4" w14:textId="73A49824" w:rsidR="00E12BA4" w:rsidRDefault="00E12BA4" w:rsidP="00E12BA4">
      <w:pPr>
        <w:pStyle w:val="Default"/>
        <w:rPr>
          <w:sz w:val="23"/>
          <w:szCs w:val="23"/>
        </w:rPr>
      </w:pPr>
      <w:r>
        <w:rPr>
          <w:sz w:val="23"/>
          <w:szCs w:val="23"/>
        </w:rPr>
        <w:t>Adult Education Consortium Providers must incorporate Workforce Preparation Activities as part of the single set of learning objectives within an IET program and document these objectives in the program syllabus.</w:t>
      </w:r>
    </w:p>
    <w:p w14:paraId="0C6D8DDA" w14:textId="2644A3C8" w:rsidR="00E12BA4" w:rsidRDefault="00E12BA4" w:rsidP="00E12BA4">
      <w:pPr>
        <w:pStyle w:val="Default"/>
        <w:rPr>
          <w:sz w:val="23"/>
          <w:szCs w:val="23"/>
        </w:rPr>
      </w:pPr>
    </w:p>
    <w:p w14:paraId="324BF3D8" w14:textId="53C66579" w:rsidR="00E12BA4" w:rsidRDefault="001857A8" w:rsidP="00E12BA4">
      <w:pPr>
        <w:pStyle w:val="Default"/>
        <w:rPr>
          <w:sz w:val="23"/>
          <w:szCs w:val="23"/>
        </w:rPr>
      </w:pPr>
      <w:r>
        <w:rPr>
          <w:sz w:val="23"/>
          <w:szCs w:val="23"/>
        </w:rPr>
        <w:t>Adult Education Consortium Providers</w:t>
      </w:r>
      <w:r w:rsidR="00E12BA4">
        <w:rPr>
          <w:sz w:val="23"/>
          <w:szCs w:val="23"/>
        </w:rPr>
        <w:t xml:space="preserve"> must ensure that Workforce Preparation Activities are only entered into the Texas Education Adults Management System (TEAMS) as direct contact hours when the activities are integrated within reading, writing, mathematics, and ESL instruction.</w:t>
      </w:r>
    </w:p>
    <w:p w14:paraId="7D2FBEDA" w14:textId="112926A4" w:rsidR="001857A8" w:rsidRDefault="001857A8" w:rsidP="00E12BA4">
      <w:pPr>
        <w:pStyle w:val="Default"/>
        <w:rPr>
          <w:sz w:val="23"/>
          <w:szCs w:val="23"/>
        </w:rPr>
      </w:pPr>
    </w:p>
    <w:p w14:paraId="72BC25AF" w14:textId="7BCD0CF0" w:rsidR="001857A8" w:rsidRDefault="001857A8" w:rsidP="001857A8">
      <w:pPr>
        <w:pStyle w:val="Default"/>
        <w:rPr>
          <w:sz w:val="23"/>
          <w:szCs w:val="23"/>
        </w:rPr>
      </w:pPr>
      <w:r>
        <w:rPr>
          <w:sz w:val="23"/>
          <w:szCs w:val="23"/>
        </w:rPr>
        <w:t>Adult Education Consortium Providers must ensure that, when delivered without contextualized AEL instruction, for example a presentation on how to conduct online job search, or on understanding the college enrollment process, Workforce Preparation Activities must be entered as training hours into TEAMS. Entering these hours as training hours segregates this time from direct AEL instruction that supports educational progress in circumstances such as pre- and post-testing for Measurable Skill Gains, but it does not mean that these activities are Workforce Training as described in this letter.</w:t>
      </w:r>
    </w:p>
    <w:p w14:paraId="04764FCC" w14:textId="516028D5" w:rsidR="001857A8" w:rsidRDefault="001857A8" w:rsidP="001857A8">
      <w:pPr>
        <w:pStyle w:val="Default"/>
        <w:rPr>
          <w:sz w:val="23"/>
          <w:szCs w:val="23"/>
        </w:rPr>
      </w:pPr>
    </w:p>
    <w:p w14:paraId="710B53F5" w14:textId="78382D53" w:rsidR="001857A8" w:rsidRDefault="001857A8" w:rsidP="001857A8">
      <w:pPr>
        <w:pStyle w:val="Default"/>
        <w:rPr>
          <w:sz w:val="23"/>
          <w:szCs w:val="23"/>
        </w:rPr>
      </w:pPr>
      <w:r>
        <w:rPr>
          <w:sz w:val="23"/>
          <w:szCs w:val="23"/>
        </w:rPr>
        <w:t>Adult Education Consortium Providers may fund Workforce Preparation Activities out of all AEL funding sources, subject to compliance with applicable eligibility guidelines.</w:t>
      </w:r>
    </w:p>
    <w:p w14:paraId="1E2FB487" w14:textId="7D9C894E" w:rsidR="001857A8" w:rsidRDefault="001857A8" w:rsidP="001857A8">
      <w:pPr>
        <w:pStyle w:val="Default"/>
        <w:rPr>
          <w:sz w:val="23"/>
          <w:szCs w:val="23"/>
        </w:rPr>
      </w:pPr>
    </w:p>
    <w:p w14:paraId="794C7529" w14:textId="1660CD7E" w:rsidR="001857A8" w:rsidRPr="00E12BA4" w:rsidRDefault="001857A8" w:rsidP="001857A8">
      <w:pPr>
        <w:pStyle w:val="Default"/>
        <w:rPr>
          <w:sz w:val="23"/>
          <w:szCs w:val="23"/>
        </w:rPr>
      </w:pPr>
      <w:r>
        <w:rPr>
          <w:sz w:val="23"/>
          <w:szCs w:val="23"/>
        </w:rPr>
        <w:t xml:space="preserve">Adult Education Consortium Providers have flexibility to find optimal efficiency in leveraging available additional resources to develop and provide Workforce Preparation Activities. Whenever possible, Adult Education Consortium Providers may leverage funds or services from other resources, such as effective </w:t>
      </w:r>
      <w:proofErr w:type="spellStart"/>
      <w:r>
        <w:rPr>
          <w:sz w:val="23"/>
          <w:szCs w:val="23"/>
        </w:rPr>
        <w:t>coenrollment</w:t>
      </w:r>
      <w:proofErr w:type="spellEnd"/>
      <w:r>
        <w:rPr>
          <w:sz w:val="23"/>
          <w:szCs w:val="23"/>
        </w:rPr>
        <w:t xml:space="preserve"> strategies with Workforce Partners or other entities to maximize overall efficiency.</w:t>
      </w:r>
    </w:p>
    <w:p w14:paraId="7F8D2A49" w14:textId="104C6ED4" w:rsidR="00734183" w:rsidRPr="00144441" w:rsidRDefault="00734183" w:rsidP="004B4A7B">
      <w:pPr>
        <w:widowControl w:val="0"/>
        <w:autoSpaceDE w:val="0"/>
        <w:autoSpaceDN w:val="0"/>
        <w:adjustRightInd w:val="0"/>
        <w:spacing w:before="0" w:after="0"/>
        <w:ind w:right="1440"/>
      </w:pPr>
    </w:p>
    <w:p w14:paraId="0EA29364" w14:textId="77777777" w:rsidR="00601153" w:rsidRPr="00601153" w:rsidRDefault="00601153" w:rsidP="00144441">
      <w:pPr>
        <w:pStyle w:val="Heading5"/>
        <w:spacing w:before="0" w:after="0"/>
        <w:rPr>
          <w:b w:val="0"/>
          <w:i w:val="0"/>
          <w:sz w:val="36"/>
          <w:szCs w:val="36"/>
        </w:rPr>
      </w:pPr>
      <w:r w:rsidRPr="00601153">
        <w:rPr>
          <w:b w:val="0"/>
          <w:i w:val="0"/>
          <w:sz w:val="36"/>
          <w:szCs w:val="36"/>
        </w:rPr>
        <w:t>Questions</w:t>
      </w:r>
    </w:p>
    <w:p w14:paraId="749F50AC" w14:textId="77777777" w:rsidR="004E4CD9" w:rsidRPr="00AD29C2" w:rsidRDefault="004E4CD9" w:rsidP="004E4CD9">
      <w:pPr>
        <w:spacing w:before="0" w:after="0"/>
        <w:ind w:right="0"/>
      </w:pPr>
      <w:r w:rsidRPr="00AD29C2">
        <w:t xml:space="preserve">Staff should first ask questions of their managers or supervisors. Direct questions to the Gulf Coast Consortium Lead Agency Staff through the </w:t>
      </w:r>
      <w:hyperlink r:id="rId13" w:history="1">
        <w:r w:rsidRPr="00183626">
          <w:rPr>
            <w:rStyle w:val="Hyperlink"/>
          </w:rPr>
          <w:t>Submit a question</w:t>
        </w:r>
      </w:hyperlink>
      <w:r w:rsidRPr="00183626">
        <w:t xml:space="preserve"> </w:t>
      </w:r>
      <w:r w:rsidRPr="00BA47D6">
        <w:t>link.</w:t>
      </w:r>
    </w:p>
    <w:p w14:paraId="364E3018" w14:textId="4BBB55D0" w:rsidR="00734183" w:rsidRPr="00ED0100" w:rsidRDefault="00734183" w:rsidP="00ED0100">
      <w:pPr>
        <w:spacing w:before="0" w:after="0"/>
        <w:ind w:right="0"/>
        <w:rPr>
          <w:rFonts w:eastAsia="Times New Roman"/>
          <w:color w:val="000000"/>
          <w:szCs w:val="24"/>
        </w:rPr>
      </w:pPr>
    </w:p>
    <w:p w14:paraId="6BAC9D9C" w14:textId="77777777" w:rsidR="00734183" w:rsidRPr="000D1A4F" w:rsidRDefault="00734183" w:rsidP="00AB49B2">
      <w:pPr>
        <w:spacing w:before="0" w:after="0"/>
        <w:ind w:right="0"/>
        <w:rPr>
          <w:szCs w:val="24"/>
        </w:rPr>
      </w:pPr>
    </w:p>
    <w:sectPr w:rsidR="00734183" w:rsidRPr="000D1A4F" w:rsidSect="006A43C1">
      <w:footerReference w:type="default" r:id="rId14"/>
      <w:footerReference w:type="first" r:id="rId15"/>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A2C3C" w14:textId="77777777" w:rsidR="00A350EB" w:rsidRDefault="00A350EB" w:rsidP="008C1E9C">
      <w:pPr>
        <w:spacing w:before="0" w:after="0"/>
      </w:pPr>
      <w:r>
        <w:separator/>
      </w:r>
    </w:p>
  </w:endnote>
  <w:endnote w:type="continuationSeparator" w:id="0">
    <w:p w14:paraId="04A84012" w14:textId="77777777" w:rsidR="00A350EB" w:rsidRDefault="00A350EB" w:rsidP="008C1E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64311" w14:textId="7F51D318" w:rsidR="00A7494E" w:rsidRDefault="00A7494E" w:rsidP="00A7494E">
    <w:pPr>
      <w:pStyle w:val="Footer"/>
      <w:jc w:val="right"/>
    </w:pPr>
    <w:proofErr w:type="gramStart"/>
    <w:r>
      <w:t>WS  Implementing</w:t>
    </w:r>
    <w:proofErr w:type="gramEnd"/>
    <w:r>
      <w:t xml:space="preserve"> and Reporting Workforce Preparation Activities —Page </w:t>
    </w:r>
    <w:r>
      <w:fldChar w:fldCharType="begin"/>
    </w:r>
    <w:r>
      <w:instrText xml:space="preserve"> PAGE   \* MERGEFORMAT </w:instrText>
    </w:r>
    <w:r>
      <w:fldChar w:fldCharType="separate"/>
    </w:r>
    <w:r w:rsidR="004E4CD9">
      <w:rPr>
        <w:noProof/>
      </w:rPr>
      <w:t>3</w:t>
    </w:r>
    <w:r>
      <w:rPr>
        <w:noProof/>
      </w:rPr>
      <w:fldChar w:fldCharType="end"/>
    </w:r>
  </w:p>
  <w:p w14:paraId="5537C747" w14:textId="77777777" w:rsidR="00A7494E" w:rsidRDefault="00A7494E" w:rsidP="00A7494E">
    <w:pPr>
      <w:pStyle w:val="Footer"/>
      <w:jc w:val="right"/>
    </w:pPr>
    <w:r>
      <w:t>September 5, 2017</w:t>
    </w:r>
  </w:p>
  <w:p w14:paraId="67518752" w14:textId="39404C27" w:rsidR="00D464F2" w:rsidRDefault="00D464F2" w:rsidP="00D464F2">
    <w:pPr>
      <w:pStyle w:val="Footer"/>
      <w:jc w:val="right"/>
    </w:pPr>
  </w:p>
  <w:p w14:paraId="318A1D36" w14:textId="77777777" w:rsidR="00E41BAA" w:rsidRPr="00D464F2" w:rsidRDefault="00E41BAA" w:rsidP="00D46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4DACB" w14:textId="26CC8BE0" w:rsidR="00E41BAA" w:rsidRDefault="00E34631" w:rsidP="00D02937">
    <w:pPr>
      <w:pStyle w:val="Footer"/>
      <w:jc w:val="right"/>
    </w:pPr>
    <w:proofErr w:type="gramStart"/>
    <w:r>
      <w:t>WS</w:t>
    </w:r>
    <w:r w:rsidR="00E41BAA">
      <w:t xml:space="preserve">  </w:t>
    </w:r>
    <w:r w:rsidR="00376E9B">
      <w:t>Implementing</w:t>
    </w:r>
    <w:proofErr w:type="gramEnd"/>
    <w:r w:rsidR="00376E9B">
      <w:t xml:space="preserve"> and Reporting Workforce Preparation Activities</w:t>
    </w:r>
    <w:r w:rsidR="00A2455F">
      <w:t xml:space="preserve"> </w:t>
    </w:r>
    <w:r w:rsidR="00E41BAA">
      <w:t xml:space="preserve">—Page </w:t>
    </w:r>
    <w:r w:rsidR="00BE40FE">
      <w:fldChar w:fldCharType="begin"/>
    </w:r>
    <w:r w:rsidR="00BE40FE">
      <w:instrText xml:space="preserve"> PAGE   \* MERGEFORMAT </w:instrText>
    </w:r>
    <w:r w:rsidR="00BE40FE">
      <w:fldChar w:fldCharType="separate"/>
    </w:r>
    <w:r w:rsidR="004E4CD9">
      <w:rPr>
        <w:noProof/>
      </w:rPr>
      <w:t>1</w:t>
    </w:r>
    <w:r w:rsidR="00BE40FE">
      <w:rPr>
        <w:noProof/>
      </w:rPr>
      <w:fldChar w:fldCharType="end"/>
    </w:r>
  </w:p>
  <w:p w14:paraId="171A5618" w14:textId="6F24CC26" w:rsidR="0028453E" w:rsidRDefault="00376E9B" w:rsidP="0028453E">
    <w:pPr>
      <w:pStyle w:val="Footer"/>
      <w:jc w:val="right"/>
    </w:pPr>
    <w:r>
      <w:t>September 5, 2017</w:t>
    </w:r>
  </w:p>
  <w:p w14:paraId="6865A0F8" w14:textId="77777777" w:rsidR="00E41BAA" w:rsidRDefault="00E4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73DB3" w14:textId="77777777" w:rsidR="00A350EB" w:rsidRDefault="00A350EB" w:rsidP="008C1E9C">
      <w:pPr>
        <w:spacing w:before="0" w:after="0"/>
      </w:pPr>
      <w:r>
        <w:separator/>
      </w:r>
    </w:p>
  </w:footnote>
  <w:footnote w:type="continuationSeparator" w:id="0">
    <w:p w14:paraId="5A0FA6DB" w14:textId="77777777" w:rsidR="00A350EB" w:rsidRDefault="00A350EB" w:rsidP="008C1E9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00F08"/>
    <w:multiLevelType w:val="hybridMultilevel"/>
    <w:tmpl w:val="CFB6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56159"/>
    <w:multiLevelType w:val="multilevel"/>
    <w:tmpl w:val="BC98BF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2" w15:restartNumberingAfterBreak="0">
    <w:nsid w:val="1BCA3A24"/>
    <w:multiLevelType w:val="hybridMultilevel"/>
    <w:tmpl w:val="6A34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C6703"/>
    <w:multiLevelType w:val="multilevel"/>
    <w:tmpl w:val="4CB6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6106C"/>
    <w:multiLevelType w:val="hybridMultilevel"/>
    <w:tmpl w:val="5F26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04578"/>
    <w:multiLevelType w:val="hybridMultilevel"/>
    <w:tmpl w:val="B438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47E06"/>
    <w:multiLevelType w:val="hybridMultilevel"/>
    <w:tmpl w:val="8452C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200278"/>
    <w:multiLevelType w:val="multilevel"/>
    <w:tmpl w:val="A9B6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5E5476"/>
    <w:multiLevelType w:val="hybridMultilevel"/>
    <w:tmpl w:val="EE24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D68ED"/>
    <w:multiLevelType w:val="multilevel"/>
    <w:tmpl w:val="0E2C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196E1E"/>
    <w:multiLevelType w:val="hybridMultilevel"/>
    <w:tmpl w:val="EF8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60A8B"/>
    <w:multiLevelType w:val="multilevel"/>
    <w:tmpl w:val="3838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E11A71"/>
    <w:multiLevelType w:val="hybridMultilevel"/>
    <w:tmpl w:val="0E8EB786"/>
    <w:lvl w:ilvl="0" w:tplc="5A8E5150">
      <w:start w:val="1"/>
      <w:numFmt w:val="bullet"/>
      <w:lvlText w:val=""/>
      <w:lvlJc w:val="left"/>
      <w:pPr>
        <w:tabs>
          <w:tab w:val="num" w:pos="1584"/>
        </w:tabs>
        <w:ind w:left="1584" w:hanging="288"/>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3" w15:restartNumberingAfterBreak="0">
    <w:nsid w:val="49C54563"/>
    <w:multiLevelType w:val="hybridMultilevel"/>
    <w:tmpl w:val="4C28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701ED"/>
    <w:multiLevelType w:val="hybridMultilevel"/>
    <w:tmpl w:val="101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0753D"/>
    <w:multiLevelType w:val="hybridMultilevel"/>
    <w:tmpl w:val="CBBEDA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529E3A99"/>
    <w:multiLevelType w:val="multilevel"/>
    <w:tmpl w:val="7076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864A21"/>
    <w:multiLevelType w:val="hybridMultilevel"/>
    <w:tmpl w:val="23DA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F44CB"/>
    <w:multiLevelType w:val="multilevel"/>
    <w:tmpl w:val="A2AC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D04799"/>
    <w:multiLevelType w:val="hybridMultilevel"/>
    <w:tmpl w:val="DF1CF584"/>
    <w:lvl w:ilvl="0" w:tplc="0409000F">
      <w:start w:val="1"/>
      <w:numFmt w:val="decimal"/>
      <w:lvlText w:val="%1."/>
      <w:lvlJc w:val="left"/>
      <w:pPr>
        <w:tabs>
          <w:tab w:val="num" w:pos="-3561"/>
        </w:tabs>
        <w:ind w:left="-3561"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810"/>
        </w:tabs>
        <w:ind w:left="-810" w:hanging="360"/>
      </w:pPr>
    </w:lvl>
    <w:lvl w:ilvl="5" w:tplc="0409001B" w:tentative="1">
      <w:start w:val="1"/>
      <w:numFmt w:val="lowerRoman"/>
      <w:lvlText w:val="%6."/>
      <w:lvlJc w:val="right"/>
      <w:pPr>
        <w:tabs>
          <w:tab w:val="num" w:pos="-90"/>
        </w:tabs>
        <w:ind w:left="-90" w:hanging="180"/>
      </w:pPr>
    </w:lvl>
    <w:lvl w:ilvl="6" w:tplc="0409000F" w:tentative="1">
      <w:start w:val="1"/>
      <w:numFmt w:val="decimal"/>
      <w:lvlText w:val="%7."/>
      <w:lvlJc w:val="left"/>
      <w:pPr>
        <w:tabs>
          <w:tab w:val="num" w:pos="630"/>
        </w:tabs>
        <w:ind w:left="630" w:hanging="360"/>
      </w:pPr>
    </w:lvl>
    <w:lvl w:ilvl="7" w:tplc="04090019" w:tentative="1">
      <w:start w:val="1"/>
      <w:numFmt w:val="lowerLetter"/>
      <w:lvlText w:val="%8."/>
      <w:lvlJc w:val="left"/>
      <w:pPr>
        <w:tabs>
          <w:tab w:val="num" w:pos="1350"/>
        </w:tabs>
        <w:ind w:left="1350" w:hanging="360"/>
      </w:pPr>
    </w:lvl>
    <w:lvl w:ilvl="8" w:tplc="0409001B" w:tentative="1">
      <w:start w:val="1"/>
      <w:numFmt w:val="lowerRoman"/>
      <w:lvlText w:val="%9."/>
      <w:lvlJc w:val="right"/>
      <w:pPr>
        <w:tabs>
          <w:tab w:val="num" w:pos="2070"/>
        </w:tabs>
        <w:ind w:left="2070" w:hanging="180"/>
      </w:pPr>
    </w:lvl>
  </w:abstractNum>
  <w:abstractNum w:abstractNumId="20" w15:restartNumberingAfterBreak="0">
    <w:nsid w:val="62314948"/>
    <w:multiLevelType w:val="multilevel"/>
    <w:tmpl w:val="0FEE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E4C86"/>
    <w:multiLevelType w:val="hybridMultilevel"/>
    <w:tmpl w:val="F21A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70ED7"/>
    <w:multiLevelType w:val="multilevel"/>
    <w:tmpl w:val="0026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614156"/>
    <w:multiLevelType w:val="hybridMultilevel"/>
    <w:tmpl w:val="A0C06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C192A"/>
    <w:multiLevelType w:val="hybridMultilevel"/>
    <w:tmpl w:val="1E424D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72A03262"/>
    <w:multiLevelType w:val="multilevel"/>
    <w:tmpl w:val="50927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EB588D"/>
    <w:multiLevelType w:val="hybridMultilevel"/>
    <w:tmpl w:val="CF54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972DC"/>
    <w:multiLevelType w:val="multilevel"/>
    <w:tmpl w:val="5D5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0"/>
  </w:num>
  <w:num w:numId="3">
    <w:abstractNumId w:val="2"/>
  </w:num>
  <w:num w:numId="4">
    <w:abstractNumId w:val="19"/>
  </w:num>
  <w:num w:numId="5">
    <w:abstractNumId w:val="5"/>
  </w:num>
  <w:num w:numId="6">
    <w:abstractNumId w:val="14"/>
  </w:num>
  <w:num w:numId="7">
    <w:abstractNumId w:val="23"/>
  </w:num>
  <w:num w:numId="8">
    <w:abstractNumId w:val="4"/>
  </w:num>
  <w:num w:numId="9">
    <w:abstractNumId w:val="13"/>
  </w:num>
  <w:num w:numId="10">
    <w:abstractNumId w:val="24"/>
  </w:num>
  <w:num w:numId="11">
    <w:abstractNumId w:val="0"/>
  </w:num>
  <w:num w:numId="12">
    <w:abstractNumId w:val="15"/>
  </w:num>
  <w:num w:numId="13">
    <w:abstractNumId w:val="1"/>
  </w:num>
  <w:num w:numId="14">
    <w:abstractNumId w:val="18"/>
  </w:num>
  <w:num w:numId="15">
    <w:abstractNumId w:val="25"/>
  </w:num>
  <w:num w:numId="16">
    <w:abstractNumId w:val="7"/>
  </w:num>
  <w:num w:numId="17">
    <w:abstractNumId w:val="16"/>
  </w:num>
  <w:num w:numId="18">
    <w:abstractNumId w:val="3"/>
  </w:num>
  <w:num w:numId="19">
    <w:abstractNumId w:val="9"/>
  </w:num>
  <w:num w:numId="20">
    <w:abstractNumId w:val="22"/>
  </w:num>
  <w:num w:numId="21">
    <w:abstractNumId w:val="11"/>
  </w:num>
  <w:num w:numId="22">
    <w:abstractNumId w:val="27"/>
  </w:num>
  <w:num w:numId="23">
    <w:abstractNumId w:val="20"/>
  </w:num>
  <w:num w:numId="24">
    <w:abstractNumId w:val="1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6"/>
  </w:num>
  <w:num w:numId="2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4C0B"/>
    <w:rsid w:val="00017ABD"/>
    <w:rsid w:val="000214B3"/>
    <w:rsid w:val="000345F7"/>
    <w:rsid w:val="00040231"/>
    <w:rsid w:val="0004213E"/>
    <w:rsid w:val="00044F5F"/>
    <w:rsid w:val="000479D5"/>
    <w:rsid w:val="00055D7E"/>
    <w:rsid w:val="00055DCC"/>
    <w:rsid w:val="00056444"/>
    <w:rsid w:val="0006346F"/>
    <w:rsid w:val="00066B32"/>
    <w:rsid w:val="00066B94"/>
    <w:rsid w:val="0007212C"/>
    <w:rsid w:val="00084CC9"/>
    <w:rsid w:val="0008506C"/>
    <w:rsid w:val="000875B7"/>
    <w:rsid w:val="00087BB8"/>
    <w:rsid w:val="00091183"/>
    <w:rsid w:val="00091538"/>
    <w:rsid w:val="000A043B"/>
    <w:rsid w:val="000A173D"/>
    <w:rsid w:val="000A1A11"/>
    <w:rsid w:val="000A2DD3"/>
    <w:rsid w:val="000A3D26"/>
    <w:rsid w:val="000B1C40"/>
    <w:rsid w:val="000B3E56"/>
    <w:rsid w:val="000C52CE"/>
    <w:rsid w:val="000C58B2"/>
    <w:rsid w:val="000C7B31"/>
    <w:rsid w:val="000D1A4F"/>
    <w:rsid w:val="000D268A"/>
    <w:rsid w:val="000E24D3"/>
    <w:rsid w:val="000F0E07"/>
    <w:rsid w:val="000F1578"/>
    <w:rsid w:val="000F4CD0"/>
    <w:rsid w:val="0010072B"/>
    <w:rsid w:val="001022DA"/>
    <w:rsid w:val="0010448C"/>
    <w:rsid w:val="00113EAA"/>
    <w:rsid w:val="001142B0"/>
    <w:rsid w:val="001206CF"/>
    <w:rsid w:val="0012326F"/>
    <w:rsid w:val="00123746"/>
    <w:rsid w:val="001278FD"/>
    <w:rsid w:val="001307B3"/>
    <w:rsid w:val="00131D20"/>
    <w:rsid w:val="001352F9"/>
    <w:rsid w:val="00135903"/>
    <w:rsid w:val="00144441"/>
    <w:rsid w:val="00151C3C"/>
    <w:rsid w:val="001532C9"/>
    <w:rsid w:val="001625B5"/>
    <w:rsid w:val="0016790E"/>
    <w:rsid w:val="001746FD"/>
    <w:rsid w:val="0017506F"/>
    <w:rsid w:val="00175489"/>
    <w:rsid w:val="00176E87"/>
    <w:rsid w:val="0017702C"/>
    <w:rsid w:val="001823FB"/>
    <w:rsid w:val="00182DA8"/>
    <w:rsid w:val="00184DDE"/>
    <w:rsid w:val="00185739"/>
    <w:rsid w:val="001857A8"/>
    <w:rsid w:val="00191B69"/>
    <w:rsid w:val="00193CD8"/>
    <w:rsid w:val="00194717"/>
    <w:rsid w:val="001963BF"/>
    <w:rsid w:val="001B0648"/>
    <w:rsid w:val="001B29B8"/>
    <w:rsid w:val="001D389A"/>
    <w:rsid w:val="001D7726"/>
    <w:rsid w:val="001E5C35"/>
    <w:rsid w:val="001E6D47"/>
    <w:rsid w:val="001F0B63"/>
    <w:rsid w:val="001F212A"/>
    <w:rsid w:val="001F2E61"/>
    <w:rsid w:val="001F7E06"/>
    <w:rsid w:val="001F7FF2"/>
    <w:rsid w:val="00200BED"/>
    <w:rsid w:val="002025A6"/>
    <w:rsid w:val="00205288"/>
    <w:rsid w:val="002077C2"/>
    <w:rsid w:val="00207FBA"/>
    <w:rsid w:val="0021019D"/>
    <w:rsid w:val="00221CFF"/>
    <w:rsid w:val="00224237"/>
    <w:rsid w:val="00225344"/>
    <w:rsid w:val="002260AB"/>
    <w:rsid w:val="002353F6"/>
    <w:rsid w:val="00237C60"/>
    <w:rsid w:val="00241729"/>
    <w:rsid w:val="00241BE6"/>
    <w:rsid w:val="002442DC"/>
    <w:rsid w:val="00244865"/>
    <w:rsid w:val="00244BBC"/>
    <w:rsid w:val="00256FA6"/>
    <w:rsid w:val="00261D1A"/>
    <w:rsid w:val="00263085"/>
    <w:rsid w:val="0026752F"/>
    <w:rsid w:val="00270260"/>
    <w:rsid w:val="00271E62"/>
    <w:rsid w:val="002722A9"/>
    <w:rsid w:val="00274C8B"/>
    <w:rsid w:val="0028453E"/>
    <w:rsid w:val="00284BAC"/>
    <w:rsid w:val="00285DA6"/>
    <w:rsid w:val="00290A30"/>
    <w:rsid w:val="00290BBF"/>
    <w:rsid w:val="002967CE"/>
    <w:rsid w:val="002A027C"/>
    <w:rsid w:val="002A24A6"/>
    <w:rsid w:val="002A2BC6"/>
    <w:rsid w:val="002A50A5"/>
    <w:rsid w:val="002A5E79"/>
    <w:rsid w:val="002A6CFB"/>
    <w:rsid w:val="002B3084"/>
    <w:rsid w:val="002B3DEB"/>
    <w:rsid w:val="002B4A90"/>
    <w:rsid w:val="002B56AC"/>
    <w:rsid w:val="002B6E23"/>
    <w:rsid w:val="002C0DBF"/>
    <w:rsid w:val="002C27F9"/>
    <w:rsid w:val="002C370D"/>
    <w:rsid w:val="002C435D"/>
    <w:rsid w:val="002C4750"/>
    <w:rsid w:val="002D1508"/>
    <w:rsid w:val="002D5B77"/>
    <w:rsid w:val="002D5B8C"/>
    <w:rsid w:val="002D6574"/>
    <w:rsid w:val="002E05C3"/>
    <w:rsid w:val="002E0D4F"/>
    <w:rsid w:val="002E186C"/>
    <w:rsid w:val="002E3163"/>
    <w:rsid w:val="00300971"/>
    <w:rsid w:val="003010BD"/>
    <w:rsid w:val="00301711"/>
    <w:rsid w:val="003039D5"/>
    <w:rsid w:val="00304BEA"/>
    <w:rsid w:val="003106B8"/>
    <w:rsid w:val="00310FA1"/>
    <w:rsid w:val="003135C9"/>
    <w:rsid w:val="00314DE4"/>
    <w:rsid w:val="00320994"/>
    <w:rsid w:val="00351396"/>
    <w:rsid w:val="003560F1"/>
    <w:rsid w:val="00357E1A"/>
    <w:rsid w:val="00362A33"/>
    <w:rsid w:val="00366AAB"/>
    <w:rsid w:val="00367CB7"/>
    <w:rsid w:val="00370A1F"/>
    <w:rsid w:val="00373500"/>
    <w:rsid w:val="00376E9B"/>
    <w:rsid w:val="003814D7"/>
    <w:rsid w:val="0038476A"/>
    <w:rsid w:val="0038621A"/>
    <w:rsid w:val="00391B7F"/>
    <w:rsid w:val="00397BB2"/>
    <w:rsid w:val="003A0989"/>
    <w:rsid w:val="003A2AB3"/>
    <w:rsid w:val="003A3FEF"/>
    <w:rsid w:val="003A4A70"/>
    <w:rsid w:val="003A6B92"/>
    <w:rsid w:val="003A6E27"/>
    <w:rsid w:val="003B28AF"/>
    <w:rsid w:val="003B33F9"/>
    <w:rsid w:val="003B593A"/>
    <w:rsid w:val="003B5CA0"/>
    <w:rsid w:val="003B749F"/>
    <w:rsid w:val="003C0D3B"/>
    <w:rsid w:val="003C56B0"/>
    <w:rsid w:val="003D222D"/>
    <w:rsid w:val="003D7123"/>
    <w:rsid w:val="003E0944"/>
    <w:rsid w:val="003E3380"/>
    <w:rsid w:val="003E7C42"/>
    <w:rsid w:val="003F0E00"/>
    <w:rsid w:val="003F51B9"/>
    <w:rsid w:val="0040137D"/>
    <w:rsid w:val="00401A71"/>
    <w:rsid w:val="004072B3"/>
    <w:rsid w:val="00410C25"/>
    <w:rsid w:val="004119E4"/>
    <w:rsid w:val="004137F3"/>
    <w:rsid w:val="004149D7"/>
    <w:rsid w:val="00424BD9"/>
    <w:rsid w:val="00427B75"/>
    <w:rsid w:val="004373C1"/>
    <w:rsid w:val="004510F9"/>
    <w:rsid w:val="00456DF2"/>
    <w:rsid w:val="004579E3"/>
    <w:rsid w:val="00457F8F"/>
    <w:rsid w:val="0046235E"/>
    <w:rsid w:val="00463693"/>
    <w:rsid w:val="00463834"/>
    <w:rsid w:val="00465B1C"/>
    <w:rsid w:val="00485EB9"/>
    <w:rsid w:val="00486440"/>
    <w:rsid w:val="00491EE0"/>
    <w:rsid w:val="004952FA"/>
    <w:rsid w:val="0049772F"/>
    <w:rsid w:val="004A1E83"/>
    <w:rsid w:val="004A3258"/>
    <w:rsid w:val="004A79B3"/>
    <w:rsid w:val="004B09E5"/>
    <w:rsid w:val="004B3CBE"/>
    <w:rsid w:val="004B4A7B"/>
    <w:rsid w:val="004B6A9D"/>
    <w:rsid w:val="004B7322"/>
    <w:rsid w:val="004B76A5"/>
    <w:rsid w:val="004B78DB"/>
    <w:rsid w:val="004C3907"/>
    <w:rsid w:val="004C3F6A"/>
    <w:rsid w:val="004C7845"/>
    <w:rsid w:val="004E4CD9"/>
    <w:rsid w:val="004F0193"/>
    <w:rsid w:val="004F1A9B"/>
    <w:rsid w:val="004F27C1"/>
    <w:rsid w:val="00503F22"/>
    <w:rsid w:val="005072F0"/>
    <w:rsid w:val="005256F0"/>
    <w:rsid w:val="005272DB"/>
    <w:rsid w:val="00533418"/>
    <w:rsid w:val="00537812"/>
    <w:rsid w:val="005453E9"/>
    <w:rsid w:val="0054602B"/>
    <w:rsid w:val="00547F94"/>
    <w:rsid w:val="00560135"/>
    <w:rsid w:val="00560F38"/>
    <w:rsid w:val="00561B67"/>
    <w:rsid w:val="00565CE7"/>
    <w:rsid w:val="00566A84"/>
    <w:rsid w:val="00570903"/>
    <w:rsid w:val="00570941"/>
    <w:rsid w:val="0057396A"/>
    <w:rsid w:val="005742CE"/>
    <w:rsid w:val="005845C6"/>
    <w:rsid w:val="00585043"/>
    <w:rsid w:val="00585C48"/>
    <w:rsid w:val="00586A07"/>
    <w:rsid w:val="005972CC"/>
    <w:rsid w:val="005A2D41"/>
    <w:rsid w:val="005A4FC6"/>
    <w:rsid w:val="005B0DFE"/>
    <w:rsid w:val="005B4E5B"/>
    <w:rsid w:val="005B6A65"/>
    <w:rsid w:val="005B6FEC"/>
    <w:rsid w:val="005C5339"/>
    <w:rsid w:val="005C667D"/>
    <w:rsid w:val="005C740F"/>
    <w:rsid w:val="005D1E4F"/>
    <w:rsid w:val="005D34BD"/>
    <w:rsid w:val="005E4DF1"/>
    <w:rsid w:val="005E6C2B"/>
    <w:rsid w:val="00600C1A"/>
    <w:rsid w:val="00601153"/>
    <w:rsid w:val="00603A7E"/>
    <w:rsid w:val="00604A91"/>
    <w:rsid w:val="00605E0D"/>
    <w:rsid w:val="00613F82"/>
    <w:rsid w:val="00616E7C"/>
    <w:rsid w:val="00627767"/>
    <w:rsid w:val="0062781C"/>
    <w:rsid w:val="00627C30"/>
    <w:rsid w:val="006303F4"/>
    <w:rsid w:val="0063367E"/>
    <w:rsid w:val="00633850"/>
    <w:rsid w:val="00644E0C"/>
    <w:rsid w:val="0065034D"/>
    <w:rsid w:val="0065266C"/>
    <w:rsid w:val="00654617"/>
    <w:rsid w:val="00666BF9"/>
    <w:rsid w:val="00667394"/>
    <w:rsid w:val="00673683"/>
    <w:rsid w:val="00681654"/>
    <w:rsid w:val="006831B2"/>
    <w:rsid w:val="006854CB"/>
    <w:rsid w:val="00685749"/>
    <w:rsid w:val="0068636F"/>
    <w:rsid w:val="006930C0"/>
    <w:rsid w:val="006A2DD7"/>
    <w:rsid w:val="006A36C5"/>
    <w:rsid w:val="006A43C1"/>
    <w:rsid w:val="006B0924"/>
    <w:rsid w:val="006B3A5F"/>
    <w:rsid w:val="006B3B10"/>
    <w:rsid w:val="006C29C7"/>
    <w:rsid w:val="006D3896"/>
    <w:rsid w:val="006D4AB4"/>
    <w:rsid w:val="006D5374"/>
    <w:rsid w:val="006E5831"/>
    <w:rsid w:val="006F021A"/>
    <w:rsid w:val="006F0DC6"/>
    <w:rsid w:val="006F1BC7"/>
    <w:rsid w:val="006F6A07"/>
    <w:rsid w:val="007121CB"/>
    <w:rsid w:val="007131CB"/>
    <w:rsid w:val="00716A31"/>
    <w:rsid w:val="007172B2"/>
    <w:rsid w:val="0072013C"/>
    <w:rsid w:val="00723016"/>
    <w:rsid w:val="007242C6"/>
    <w:rsid w:val="00724349"/>
    <w:rsid w:val="00725E43"/>
    <w:rsid w:val="0072718A"/>
    <w:rsid w:val="00731885"/>
    <w:rsid w:val="007319FB"/>
    <w:rsid w:val="007338E4"/>
    <w:rsid w:val="00734183"/>
    <w:rsid w:val="0073582C"/>
    <w:rsid w:val="00751516"/>
    <w:rsid w:val="00752BBE"/>
    <w:rsid w:val="00755137"/>
    <w:rsid w:val="0075638C"/>
    <w:rsid w:val="00763F6C"/>
    <w:rsid w:val="007771F5"/>
    <w:rsid w:val="00791063"/>
    <w:rsid w:val="00792500"/>
    <w:rsid w:val="007A210D"/>
    <w:rsid w:val="007A4124"/>
    <w:rsid w:val="007A44C6"/>
    <w:rsid w:val="007A6138"/>
    <w:rsid w:val="007A714A"/>
    <w:rsid w:val="007B069C"/>
    <w:rsid w:val="007B0A22"/>
    <w:rsid w:val="007B3AA9"/>
    <w:rsid w:val="007B4254"/>
    <w:rsid w:val="007B4B77"/>
    <w:rsid w:val="007B4DAA"/>
    <w:rsid w:val="007C36E6"/>
    <w:rsid w:val="007C42D1"/>
    <w:rsid w:val="007C58C3"/>
    <w:rsid w:val="007C5B14"/>
    <w:rsid w:val="007D1836"/>
    <w:rsid w:val="007D47BC"/>
    <w:rsid w:val="007D497D"/>
    <w:rsid w:val="007D601B"/>
    <w:rsid w:val="007F1FC1"/>
    <w:rsid w:val="007F31EB"/>
    <w:rsid w:val="007F38CB"/>
    <w:rsid w:val="00802863"/>
    <w:rsid w:val="00813B03"/>
    <w:rsid w:val="00820ED7"/>
    <w:rsid w:val="008228EC"/>
    <w:rsid w:val="00823B79"/>
    <w:rsid w:val="00824A95"/>
    <w:rsid w:val="00827922"/>
    <w:rsid w:val="008319F1"/>
    <w:rsid w:val="00832C21"/>
    <w:rsid w:val="0083551F"/>
    <w:rsid w:val="00835B91"/>
    <w:rsid w:val="008408CA"/>
    <w:rsid w:val="008410A0"/>
    <w:rsid w:val="00852086"/>
    <w:rsid w:val="00854EE2"/>
    <w:rsid w:val="008556B5"/>
    <w:rsid w:val="00855D61"/>
    <w:rsid w:val="00863747"/>
    <w:rsid w:val="00864AC1"/>
    <w:rsid w:val="00866F98"/>
    <w:rsid w:val="00867746"/>
    <w:rsid w:val="008710D0"/>
    <w:rsid w:val="008724ED"/>
    <w:rsid w:val="00877F76"/>
    <w:rsid w:val="00894695"/>
    <w:rsid w:val="0089716C"/>
    <w:rsid w:val="008A1A92"/>
    <w:rsid w:val="008A2C60"/>
    <w:rsid w:val="008B0BF7"/>
    <w:rsid w:val="008B542A"/>
    <w:rsid w:val="008C1D31"/>
    <w:rsid w:val="008C1E9C"/>
    <w:rsid w:val="008C3C6B"/>
    <w:rsid w:val="008C780E"/>
    <w:rsid w:val="008E05B2"/>
    <w:rsid w:val="008E4803"/>
    <w:rsid w:val="008F02F9"/>
    <w:rsid w:val="008F7FDE"/>
    <w:rsid w:val="00902F88"/>
    <w:rsid w:val="00911F94"/>
    <w:rsid w:val="00914923"/>
    <w:rsid w:val="0092139B"/>
    <w:rsid w:val="0092372E"/>
    <w:rsid w:val="00932F6E"/>
    <w:rsid w:val="00937AFD"/>
    <w:rsid w:val="00940538"/>
    <w:rsid w:val="00942C9E"/>
    <w:rsid w:val="00947C95"/>
    <w:rsid w:val="00952598"/>
    <w:rsid w:val="00953AA4"/>
    <w:rsid w:val="0096081B"/>
    <w:rsid w:val="00963C7B"/>
    <w:rsid w:val="00963C9B"/>
    <w:rsid w:val="009709F7"/>
    <w:rsid w:val="00971335"/>
    <w:rsid w:val="009719F5"/>
    <w:rsid w:val="00981E1D"/>
    <w:rsid w:val="0099329E"/>
    <w:rsid w:val="00996845"/>
    <w:rsid w:val="009B2F8E"/>
    <w:rsid w:val="009B7C91"/>
    <w:rsid w:val="009C1516"/>
    <w:rsid w:val="009C4F3D"/>
    <w:rsid w:val="009D2778"/>
    <w:rsid w:val="009D3912"/>
    <w:rsid w:val="009D7CA6"/>
    <w:rsid w:val="009E44FF"/>
    <w:rsid w:val="009F6773"/>
    <w:rsid w:val="009F7EC5"/>
    <w:rsid w:val="00A23594"/>
    <w:rsid w:val="00A2455F"/>
    <w:rsid w:val="00A25EFF"/>
    <w:rsid w:val="00A350EB"/>
    <w:rsid w:val="00A365B4"/>
    <w:rsid w:val="00A57FB2"/>
    <w:rsid w:val="00A61D4B"/>
    <w:rsid w:val="00A620FE"/>
    <w:rsid w:val="00A7494E"/>
    <w:rsid w:val="00A7708E"/>
    <w:rsid w:val="00A92A32"/>
    <w:rsid w:val="00AA3429"/>
    <w:rsid w:val="00AA3F59"/>
    <w:rsid w:val="00AB4167"/>
    <w:rsid w:val="00AB49B2"/>
    <w:rsid w:val="00AC1464"/>
    <w:rsid w:val="00AC1894"/>
    <w:rsid w:val="00AC5A3D"/>
    <w:rsid w:val="00AD259F"/>
    <w:rsid w:val="00AD4636"/>
    <w:rsid w:val="00AD4FEE"/>
    <w:rsid w:val="00AE48D5"/>
    <w:rsid w:val="00AE7064"/>
    <w:rsid w:val="00AF07AC"/>
    <w:rsid w:val="00AF4037"/>
    <w:rsid w:val="00AF60E6"/>
    <w:rsid w:val="00AF691D"/>
    <w:rsid w:val="00B0096A"/>
    <w:rsid w:val="00B00CD9"/>
    <w:rsid w:val="00B029EC"/>
    <w:rsid w:val="00B02BB0"/>
    <w:rsid w:val="00B04F7C"/>
    <w:rsid w:val="00B152BC"/>
    <w:rsid w:val="00B17C2F"/>
    <w:rsid w:val="00B21783"/>
    <w:rsid w:val="00B25F2F"/>
    <w:rsid w:val="00B26756"/>
    <w:rsid w:val="00B31261"/>
    <w:rsid w:val="00B33788"/>
    <w:rsid w:val="00B33F02"/>
    <w:rsid w:val="00B35934"/>
    <w:rsid w:val="00B369CF"/>
    <w:rsid w:val="00B41334"/>
    <w:rsid w:val="00B460F3"/>
    <w:rsid w:val="00B515D9"/>
    <w:rsid w:val="00B5649A"/>
    <w:rsid w:val="00B6635A"/>
    <w:rsid w:val="00B6753A"/>
    <w:rsid w:val="00B90575"/>
    <w:rsid w:val="00B91BB7"/>
    <w:rsid w:val="00B967D4"/>
    <w:rsid w:val="00B968BA"/>
    <w:rsid w:val="00BA0E01"/>
    <w:rsid w:val="00BA47D6"/>
    <w:rsid w:val="00BA57AD"/>
    <w:rsid w:val="00BA61F8"/>
    <w:rsid w:val="00BB189C"/>
    <w:rsid w:val="00BB3E93"/>
    <w:rsid w:val="00BB6882"/>
    <w:rsid w:val="00BC171D"/>
    <w:rsid w:val="00BC6727"/>
    <w:rsid w:val="00BD4D84"/>
    <w:rsid w:val="00BE264D"/>
    <w:rsid w:val="00BE3E08"/>
    <w:rsid w:val="00BE40FE"/>
    <w:rsid w:val="00BE7598"/>
    <w:rsid w:val="00BF1B03"/>
    <w:rsid w:val="00BF3872"/>
    <w:rsid w:val="00BF5750"/>
    <w:rsid w:val="00C02332"/>
    <w:rsid w:val="00C02B02"/>
    <w:rsid w:val="00C1479E"/>
    <w:rsid w:val="00C17FCC"/>
    <w:rsid w:val="00C26024"/>
    <w:rsid w:val="00C348F1"/>
    <w:rsid w:val="00C352F8"/>
    <w:rsid w:val="00C37130"/>
    <w:rsid w:val="00C46D55"/>
    <w:rsid w:val="00C52590"/>
    <w:rsid w:val="00C536FD"/>
    <w:rsid w:val="00C55258"/>
    <w:rsid w:val="00C5568D"/>
    <w:rsid w:val="00C55F02"/>
    <w:rsid w:val="00C567EA"/>
    <w:rsid w:val="00C57B2F"/>
    <w:rsid w:val="00C63AA3"/>
    <w:rsid w:val="00C731FA"/>
    <w:rsid w:val="00C754B2"/>
    <w:rsid w:val="00C87090"/>
    <w:rsid w:val="00C87BE5"/>
    <w:rsid w:val="00C914BB"/>
    <w:rsid w:val="00C91598"/>
    <w:rsid w:val="00C95B81"/>
    <w:rsid w:val="00C96327"/>
    <w:rsid w:val="00C9677C"/>
    <w:rsid w:val="00C97ABB"/>
    <w:rsid w:val="00CA4BA2"/>
    <w:rsid w:val="00CA7568"/>
    <w:rsid w:val="00CB3D80"/>
    <w:rsid w:val="00CB5B9D"/>
    <w:rsid w:val="00CC55B9"/>
    <w:rsid w:val="00CC78BF"/>
    <w:rsid w:val="00CC7BEF"/>
    <w:rsid w:val="00CD685E"/>
    <w:rsid w:val="00CD716A"/>
    <w:rsid w:val="00CE0DBE"/>
    <w:rsid w:val="00CE2204"/>
    <w:rsid w:val="00CE2AE4"/>
    <w:rsid w:val="00CE3152"/>
    <w:rsid w:val="00CE3C52"/>
    <w:rsid w:val="00CF073C"/>
    <w:rsid w:val="00CF2658"/>
    <w:rsid w:val="00CF5663"/>
    <w:rsid w:val="00CF7F91"/>
    <w:rsid w:val="00D02937"/>
    <w:rsid w:val="00D04FAB"/>
    <w:rsid w:val="00D14B34"/>
    <w:rsid w:val="00D15AA5"/>
    <w:rsid w:val="00D20E9C"/>
    <w:rsid w:val="00D2443B"/>
    <w:rsid w:val="00D301D0"/>
    <w:rsid w:val="00D302F9"/>
    <w:rsid w:val="00D30408"/>
    <w:rsid w:val="00D403EF"/>
    <w:rsid w:val="00D45642"/>
    <w:rsid w:val="00D464F2"/>
    <w:rsid w:val="00D5247F"/>
    <w:rsid w:val="00D53322"/>
    <w:rsid w:val="00D54F80"/>
    <w:rsid w:val="00D55A27"/>
    <w:rsid w:val="00D563B2"/>
    <w:rsid w:val="00D63474"/>
    <w:rsid w:val="00D64766"/>
    <w:rsid w:val="00D6636A"/>
    <w:rsid w:val="00D72C55"/>
    <w:rsid w:val="00D82A77"/>
    <w:rsid w:val="00D837E5"/>
    <w:rsid w:val="00DA2234"/>
    <w:rsid w:val="00DA44A9"/>
    <w:rsid w:val="00DA562C"/>
    <w:rsid w:val="00DA5CB7"/>
    <w:rsid w:val="00DB1005"/>
    <w:rsid w:val="00DC48E4"/>
    <w:rsid w:val="00DD789B"/>
    <w:rsid w:val="00DE21C7"/>
    <w:rsid w:val="00DE6423"/>
    <w:rsid w:val="00DE68BB"/>
    <w:rsid w:val="00DF1213"/>
    <w:rsid w:val="00DF2E00"/>
    <w:rsid w:val="00E045EF"/>
    <w:rsid w:val="00E05A03"/>
    <w:rsid w:val="00E129FE"/>
    <w:rsid w:val="00E12BA4"/>
    <w:rsid w:val="00E34631"/>
    <w:rsid w:val="00E372E3"/>
    <w:rsid w:val="00E41BAA"/>
    <w:rsid w:val="00E46D0C"/>
    <w:rsid w:val="00E510DE"/>
    <w:rsid w:val="00E52DED"/>
    <w:rsid w:val="00E53051"/>
    <w:rsid w:val="00E61107"/>
    <w:rsid w:val="00E61179"/>
    <w:rsid w:val="00E6397C"/>
    <w:rsid w:val="00E648D5"/>
    <w:rsid w:val="00E707F0"/>
    <w:rsid w:val="00E77621"/>
    <w:rsid w:val="00E77C59"/>
    <w:rsid w:val="00E812D6"/>
    <w:rsid w:val="00E91B5D"/>
    <w:rsid w:val="00E97130"/>
    <w:rsid w:val="00EA42EE"/>
    <w:rsid w:val="00EB08B9"/>
    <w:rsid w:val="00EB2A61"/>
    <w:rsid w:val="00EC12FF"/>
    <w:rsid w:val="00EC3EAE"/>
    <w:rsid w:val="00ED0100"/>
    <w:rsid w:val="00ED1043"/>
    <w:rsid w:val="00ED2F0F"/>
    <w:rsid w:val="00ED6DB5"/>
    <w:rsid w:val="00EE15DD"/>
    <w:rsid w:val="00EE5FB8"/>
    <w:rsid w:val="00EE732B"/>
    <w:rsid w:val="00EF6701"/>
    <w:rsid w:val="00F0041D"/>
    <w:rsid w:val="00F065F9"/>
    <w:rsid w:val="00F167B4"/>
    <w:rsid w:val="00F2116F"/>
    <w:rsid w:val="00F211CC"/>
    <w:rsid w:val="00F23EAC"/>
    <w:rsid w:val="00F25EF7"/>
    <w:rsid w:val="00F274E9"/>
    <w:rsid w:val="00F305AD"/>
    <w:rsid w:val="00F32836"/>
    <w:rsid w:val="00F73196"/>
    <w:rsid w:val="00F73A8F"/>
    <w:rsid w:val="00F81258"/>
    <w:rsid w:val="00F86029"/>
    <w:rsid w:val="00F916DB"/>
    <w:rsid w:val="00F937ED"/>
    <w:rsid w:val="00FA112A"/>
    <w:rsid w:val="00FA1AD1"/>
    <w:rsid w:val="00FA3BC2"/>
    <w:rsid w:val="00FB0473"/>
    <w:rsid w:val="00FB2382"/>
    <w:rsid w:val="00FB4287"/>
    <w:rsid w:val="00FC0EE3"/>
    <w:rsid w:val="00FD1164"/>
    <w:rsid w:val="00FD13B0"/>
    <w:rsid w:val="00FD22D4"/>
    <w:rsid w:val="00FD7273"/>
    <w:rsid w:val="00FE2D37"/>
    <w:rsid w:val="00FF6A2D"/>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3A70"/>
  <w15:docId w15:val="{1F5B6398-4934-4949-BD18-44E3E119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5">
    <w:name w:val="heading 5"/>
    <w:basedOn w:val="Normal"/>
    <w:next w:val="Normal"/>
    <w:link w:val="Heading5Char"/>
    <w:qFormat/>
    <w:rsid w:val="000B3E56"/>
    <w:pPr>
      <w:spacing w:after="60"/>
      <w:ind w:right="0"/>
      <w:outlineLvl w:val="4"/>
    </w:pPr>
    <w:rPr>
      <w:rFonts w:eastAsia="Times New Roman"/>
      <w:b/>
      <w:bCs/>
      <w:i/>
      <w:iCs/>
      <w:sz w:val="26"/>
      <w:szCs w:val="26"/>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CD9"/>
    <w:rPr>
      <w:rFonts w:ascii="Tahoma" w:hAnsi="Tahoma" w:cs="Tahoma"/>
      <w:sz w:val="16"/>
      <w:szCs w:val="16"/>
    </w:rPr>
  </w:style>
  <w:style w:type="character" w:customStyle="1" w:styleId="Heading1Char">
    <w:name w:val="Heading 1 Char"/>
    <w:basedOn w:val="DefaultParagraphFont"/>
    <w:link w:val="Heading1"/>
    <w:rsid w:val="00B00CD9"/>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B00CD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basedOn w:val="DefaultParagraphFont"/>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basedOn w:val="DefaultParagraphFont"/>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basedOn w:val="DefaultParagraphFont"/>
    <w:link w:val="Footer"/>
    <w:uiPriority w:val="99"/>
    <w:rsid w:val="008C1E9C"/>
    <w:rPr>
      <w:rFonts w:ascii="Times New Roman" w:hAnsi="Times New Roman"/>
      <w:sz w:val="24"/>
    </w:rPr>
  </w:style>
  <w:style w:type="character" w:styleId="FollowedHyperlink">
    <w:name w:val="FollowedHyperlink"/>
    <w:basedOn w:val="DefaultParagraphFont"/>
    <w:uiPriority w:val="99"/>
    <w:semiHidden/>
    <w:unhideWhenUsed/>
    <w:rsid w:val="00AC1894"/>
    <w:rPr>
      <w:color w:val="800080"/>
      <w:u w:val="single"/>
    </w:rPr>
  </w:style>
  <w:style w:type="table" w:styleId="TableGrid">
    <w:name w:val="Table Grid"/>
    <w:basedOn w:val="TableNormal"/>
    <w:uiPriority w:val="59"/>
    <w:rsid w:val="0038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B3E56"/>
    <w:rPr>
      <w:rFonts w:ascii="Times New Roman" w:eastAsia="Times New Roman" w:hAnsi="Times New Roman"/>
      <w:b/>
      <w:bCs/>
      <w:i/>
      <w:iCs/>
      <w:sz w:val="26"/>
      <w:szCs w:val="26"/>
    </w:rPr>
  </w:style>
  <w:style w:type="paragraph" w:styleId="BodyText">
    <w:name w:val="Body Text"/>
    <w:basedOn w:val="Normal"/>
    <w:link w:val="BodyTextChar"/>
    <w:rsid w:val="000B3E56"/>
    <w:pPr>
      <w:spacing w:before="0" w:after="0"/>
      <w:ind w:right="0"/>
    </w:pPr>
    <w:rPr>
      <w:rFonts w:eastAsia="Times New Roman"/>
      <w:i/>
      <w:szCs w:val="20"/>
    </w:rPr>
  </w:style>
  <w:style w:type="character" w:customStyle="1" w:styleId="BodyTextChar">
    <w:name w:val="Body Text Char"/>
    <w:basedOn w:val="DefaultParagraphFont"/>
    <w:link w:val="BodyText"/>
    <w:rsid w:val="000B3E56"/>
    <w:rPr>
      <w:rFonts w:ascii="Times New Roman" w:eastAsia="Times New Roman" w:hAnsi="Times New Roman"/>
      <w:i/>
      <w:sz w:val="24"/>
    </w:rPr>
  </w:style>
  <w:style w:type="paragraph" w:customStyle="1" w:styleId="Default">
    <w:name w:val="Default"/>
    <w:rsid w:val="00601153"/>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5D34BD"/>
    <w:rPr>
      <w:sz w:val="16"/>
      <w:szCs w:val="16"/>
    </w:rPr>
  </w:style>
  <w:style w:type="paragraph" w:styleId="CommentText">
    <w:name w:val="annotation text"/>
    <w:basedOn w:val="Normal"/>
    <w:link w:val="CommentTextChar"/>
    <w:uiPriority w:val="99"/>
    <w:semiHidden/>
    <w:unhideWhenUsed/>
    <w:rsid w:val="005D34BD"/>
    <w:rPr>
      <w:sz w:val="20"/>
      <w:szCs w:val="20"/>
    </w:rPr>
  </w:style>
  <w:style w:type="character" w:customStyle="1" w:styleId="CommentTextChar">
    <w:name w:val="Comment Text Char"/>
    <w:basedOn w:val="DefaultParagraphFont"/>
    <w:link w:val="CommentText"/>
    <w:uiPriority w:val="99"/>
    <w:semiHidden/>
    <w:rsid w:val="005D34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34BD"/>
    <w:rPr>
      <w:b/>
      <w:bCs/>
    </w:rPr>
  </w:style>
  <w:style w:type="character" w:customStyle="1" w:styleId="CommentSubjectChar">
    <w:name w:val="Comment Subject Char"/>
    <w:basedOn w:val="CommentTextChar"/>
    <w:link w:val="CommentSubject"/>
    <w:uiPriority w:val="99"/>
    <w:semiHidden/>
    <w:rsid w:val="005D34BD"/>
    <w:rPr>
      <w:rFonts w:ascii="Times New Roman" w:hAnsi="Times New Roman"/>
      <w:b/>
      <w:bCs/>
    </w:rPr>
  </w:style>
  <w:style w:type="paragraph" w:styleId="Revision">
    <w:name w:val="Revision"/>
    <w:hidden/>
    <w:uiPriority w:val="99"/>
    <w:semiHidden/>
    <w:rsid w:val="00866F98"/>
    <w:rPr>
      <w:rFonts w:ascii="Times New Roman" w:hAnsi="Times New Roman"/>
      <w:sz w:val="24"/>
      <w:szCs w:val="22"/>
    </w:rPr>
  </w:style>
  <w:style w:type="character" w:styleId="Strong">
    <w:name w:val="Strong"/>
    <w:basedOn w:val="DefaultParagraphFont"/>
    <w:uiPriority w:val="22"/>
    <w:qFormat/>
    <w:rsid w:val="000C7B31"/>
    <w:rPr>
      <w:b/>
      <w:bCs/>
    </w:rPr>
  </w:style>
  <w:style w:type="character" w:styleId="Emphasis">
    <w:name w:val="Emphasis"/>
    <w:basedOn w:val="DefaultParagraphFont"/>
    <w:uiPriority w:val="20"/>
    <w:qFormat/>
    <w:rsid w:val="000C7B31"/>
    <w:rPr>
      <w:i/>
      <w:iCs/>
    </w:rPr>
  </w:style>
  <w:style w:type="character" w:customStyle="1" w:styleId="UnresolvedMention1">
    <w:name w:val="Unresolved Mention1"/>
    <w:basedOn w:val="DefaultParagraphFont"/>
    <w:uiPriority w:val="99"/>
    <w:semiHidden/>
    <w:unhideWhenUsed/>
    <w:rsid w:val="006A43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3381">
      <w:bodyDiv w:val="1"/>
      <w:marLeft w:val="0"/>
      <w:marRight w:val="0"/>
      <w:marTop w:val="0"/>
      <w:marBottom w:val="0"/>
      <w:divBdr>
        <w:top w:val="none" w:sz="0" w:space="0" w:color="auto"/>
        <w:left w:val="none" w:sz="0" w:space="0" w:color="auto"/>
        <w:bottom w:val="none" w:sz="0" w:space="0" w:color="auto"/>
        <w:right w:val="none" w:sz="0" w:space="0" w:color="auto"/>
      </w:divBdr>
    </w:div>
    <w:div w:id="987319830">
      <w:bodyDiv w:val="1"/>
      <w:marLeft w:val="0"/>
      <w:marRight w:val="0"/>
      <w:marTop w:val="0"/>
      <w:marBottom w:val="0"/>
      <w:divBdr>
        <w:top w:val="none" w:sz="0" w:space="0" w:color="auto"/>
        <w:left w:val="none" w:sz="0" w:space="0" w:color="auto"/>
        <w:bottom w:val="none" w:sz="0" w:space="0" w:color="auto"/>
        <w:right w:val="none" w:sz="0" w:space="0" w:color="auto"/>
      </w:divBdr>
      <w:divsChild>
        <w:div w:id="270282987">
          <w:marLeft w:val="0"/>
          <w:marRight w:val="0"/>
          <w:marTop w:val="0"/>
          <w:marBottom w:val="0"/>
          <w:divBdr>
            <w:top w:val="none" w:sz="0" w:space="0" w:color="auto"/>
            <w:left w:val="none" w:sz="0" w:space="0" w:color="auto"/>
            <w:bottom w:val="none" w:sz="0" w:space="0" w:color="auto"/>
            <w:right w:val="none" w:sz="0" w:space="0" w:color="auto"/>
          </w:divBdr>
          <w:divsChild>
            <w:div w:id="34698032">
              <w:marLeft w:val="0"/>
              <w:marRight w:val="0"/>
              <w:marTop w:val="0"/>
              <w:marBottom w:val="0"/>
              <w:divBdr>
                <w:top w:val="none" w:sz="0" w:space="0" w:color="auto"/>
                <w:left w:val="none" w:sz="0" w:space="0" w:color="auto"/>
                <w:bottom w:val="none" w:sz="0" w:space="0" w:color="auto"/>
                <w:right w:val="none" w:sz="0" w:space="0" w:color="auto"/>
              </w:divBdr>
              <w:divsChild>
                <w:div w:id="941644780">
                  <w:marLeft w:val="0"/>
                  <w:marRight w:val="0"/>
                  <w:marTop w:val="0"/>
                  <w:marBottom w:val="0"/>
                  <w:divBdr>
                    <w:top w:val="none" w:sz="0" w:space="0" w:color="auto"/>
                    <w:left w:val="none" w:sz="0" w:space="0" w:color="auto"/>
                    <w:bottom w:val="none" w:sz="0" w:space="0" w:color="auto"/>
                    <w:right w:val="none" w:sz="0" w:space="0" w:color="auto"/>
                  </w:divBdr>
                  <w:divsChild>
                    <w:div w:id="2082746987">
                      <w:marLeft w:val="0"/>
                      <w:marRight w:val="0"/>
                      <w:marTop w:val="0"/>
                      <w:marBottom w:val="0"/>
                      <w:divBdr>
                        <w:top w:val="none" w:sz="0" w:space="0" w:color="auto"/>
                        <w:left w:val="none" w:sz="0" w:space="0" w:color="auto"/>
                        <w:bottom w:val="none" w:sz="0" w:space="0" w:color="auto"/>
                        <w:right w:val="none" w:sz="0" w:space="0" w:color="auto"/>
                      </w:divBdr>
                      <w:divsChild>
                        <w:div w:id="2972848">
                          <w:marLeft w:val="0"/>
                          <w:marRight w:val="0"/>
                          <w:marTop w:val="0"/>
                          <w:marBottom w:val="0"/>
                          <w:divBdr>
                            <w:top w:val="none" w:sz="0" w:space="0" w:color="auto"/>
                            <w:left w:val="none" w:sz="0" w:space="0" w:color="auto"/>
                            <w:bottom w:val="none" w:sz="0" w:space="0" w:color="auto"/>
                            <w:right w:val="none" w:sz="0" w:space="0" w:color="auto"/>
                          </w:divBdr>
                          <w:divsChild>
                            <w:div w:id="1202329008">
                              <w:marLeft w:val="0"/>
                              <w:marRight w:val="75"/>
                              <w:marTop w:val="0"/>
                              <w:marBottom w:val="0"/>
                              <w:divBdr>
                                <w:top w:val="none" w:sz="0" w:space="0" w:color="auto"/>
                                <w:left w:val="none" w:sz="0" w:space="0" w:color="auto"/>
                                <w:bottom w:val="none" w:sz="0" w:space="0" w:color="auto"/>
                                <w:right w:val="none" w:sz="0" w:space="0" w:color="auto"/>
                              </w:divBdr>
                              <w:divsChild>
                                <w:div w:id="1961642481">
                                  <w:marLeft w:val="0"/>
                                  <w:marRight w:val="0"/>
                                  <w:marTop w:val="0"/>
                                  <w:marBottom w:val="0"/>
                                  <w:divBdr>
                                    <w:top w:val="none" w:sz="0" w:space="0" w:color="auto"/>
                                    <w:left w:val="none" w:sz="0" w:space="0" w:color="auto"/>
                                    <w:bottom w:val="none" w:sz="0" w:space="0" w:color="auto"/>
                                    <w:right w:val="none" w:sz="0" w:space="0" w:color="auto"/>
                                  </w:divBdr>
                                  <w:divsChild>
                                    <w:div w:id="183330015">
                                      <w:marLeft w:val="150"/>
                                      <w:marRight w:val="150"/>
                                      <w:marTop w:val="0"/>
                                      <w:marBottom w:val="0"/>
                                      <w:divBdr>
                                        <w:top w:val="none" w:sz="0" w:space="0" w:color="auto"/>
                                        <w:left w:val="none" w:sz="0" w:space="0" w:color="auto"/>
                                        <w:bottom w:val="none" w:sz="0" w:space="0" w:color="auto"/>
                                        <w:right w:val="none" w:sz="0" w:space="0" w:color="auto"/>
                                      </w:divBdr>
                                      <w:divsChild>
                                        <w:div w:id="1571496542">
                                          <w:marLeft w:val="0"/>
                                          <w:marRight w:val="0"/>
                                          <w:marTop w:val="0"/>
                                          <w:marBottom w:val="0"/>
                                          <w:divBdr>
                                            <w:top w:val="none" w:sz="0" w:space="0" w:color="auto"/>
                                            <w:left w:val="none" w:sz="0" w:space="0" w:color="auto"/>
                                            <w:bottom w:val="none" w:sz="0" w:space="0" w:color="auto"/>
                                            <w:right w:val="none" w:sz="0" w:space="0" w:color="auto"/>
                                          </w:divBdr>
                                          <w:divsChild>
                                            <w:div w:id="3725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344651">
      <w:bodyDiv w:val="1"/>
      <w:marLeft w:val="0"/>
      <w:marRight w:val="0"/>
      <w:marTop w:val="0"/>
      <w:marBottom w:val="0"/>
      <w:divBdr>
        <w:top w:val="none" w:sz="0" w:space="0" w:color="auto"/>
        <w:left w:val="none" w:sz="0" w:space="0" w:color="auto"/>
        <w:bottom w:val="none" w:sz="0" w:space="0" w:color="auto"/>
        <w:right w:val="none" w:sz="0" w:space="0" w:color="auto"/>
      </w:divBdr>
    </w:div>
    <w:div w:id="1260604013">
      <w:bodyDiv w:val="1"/>
      <w:marLeft w:val="0"/>
      <w:marRight w:val="0"/>
      <w:marTop w:val="0"/>
      <w:marBottom w:val="0"/>
      <w:divBdr>
        <w:top w:val="none" w:sz="0" w:space="0" w:color="auto"/>
        <w:left w:val="none" w:sz="0" w:space="0" w:color="auto"/>
        <w:bottom w:val="none" w:sz="0" w:space="0" w:color="auto"/>
        <w:right w:val="none" w:sz="0" w:space="0" w:color="auto"/>
      </w:divBdr>
      <w:divsChild>
        <w:div w:id="999112950">
          <w:marLeft w:val="0"/>
          <w:marRight w:val="0"/>
          <w:marTop w:val="0"/>
          <w:marBottom w:val="0"/>
          <w:divBdr>
            <w:top w:val="none" w:sz="0" w:space="0" w:color="auto"/>
            <w:left w:val="none" w:sz="0" w:space="0" w:color="auto"/>
            <w:bottom w:val="none" w:sz="0" w:space="0" w:color="auto"/>
            <w:right w:val="none" w:sz="0" w:space="0" w:color="auto"/>
          </w:divBdr>
          <w:divsChild>
            <w:div w:id="705713937">
              <w:marLeft w:val="0"/>
              <w:marRight w:val="0"/>
              <w:marTop w:val="0"/>
              <w:marBottom w:val="0"/>
              <w:divBdr>
                <w:top w:val="none" w:sz="0" w:space="0" w:color="auto"/>
                <w:left w:val="none" w:sz="0" w:space="0" w:color="auto"/>
                <w:bottom w:val="none" w:sz="0" w:space="0" w:color="auto"/>
                <w:right w:val="none" w:sz="0" w:space="0" w:color="auto"/>
              </w:divBdr>
              <w:divsChild>
                <w:div w:id="2138336385">
                  <w:marLeft w:val="593"/>
                  <w:marRight w:val="593"/>
                  <w:marTop w:val="0"/>
                  <w:marBottom w:val="0"/>
                  <w:divBdr>
                    <w:top w:val="none" w:sz="0" w:space="0" w:color="auto"/>
                    <w:left w:val="none" w:sz="0" w:space="0" w:color="auto"/>
                    <w:bottom w:val="none" w:sz="0" w:space="0" w:color="auto"/>
                    <w:right w:val="none" w:sz="0" w:space="0" w:color="auto"/>
                  </w:divBdr>
                  <w:divsChild>
                    <w:div w:id="324287072">
                      <w:marLeft w:val="0"/>
                      <w:marRight w:val="0"/>
                      <w:marTop w:val="0"/>
                      <w:marBottom w:val="0"/>
                      <w:divBdr>
                        <w:top w:val="none" w:sz="0" w:space="0" w:color="auto"/>
                        <w:left w:val="none" w:sz="0" w:space="0" w:color="auto"/>
                        <w:bottom w:val="none" w:sz="0" w:space="0" w:color="auto"/>
                        <w:right w:val="none" w:sz="0" w:space="0" w:color="auto"/>
                      </w:divBdr>
                      <w:divsChild>
                        <w:div w:id="2096897787">
                          <w:marLeft w:val="0"/>
                          <w:marRight w:val="0"/>
                          <w:marTop w:val="0"/>
                          <w:marBottom w:val="0"/>
                          <w:divBdr>
                            <w:top w:val="none" w:sz="0" w:space="0" w:color="auto"/>
                            <w:left w:val="none" w:sz="0" w:space="0" w:color="auto"/>
                            <w:bottom w:val="none" w:sz="0" w:space="0" w:color="auto"/>
                            <w:right w:val="none" w:sz="0" w:space="0" w:color="auto"/>
                          </w:divBdr>
                          <w:divsChild>
                            <w:div w:id="1224875440">
                              <w:marLeft w:val="0"/>
                              <w:marRight w:val="0"/>
                              <w:marTop w:val="0"/>
                              <w:marBottom w:val="0"/>
                              <w:divBdr>
                                <w:top w:val="none" w:sz="0" w:space="0" w:color="auto"/>
                                <w:left w:val="none" w:sz="0" w:space="0" w:color="auto"/>
                                <w:bottom w:val="none" w:sz="0" w:space="0" w:color="auto"/>
                                <w:right w:val="none" w:sz="0" w:space="0" w:color="auto"/>
                              </w:divBdr>
                              <w:divsChild>
                                <w:div w:id="799227436">
                                  <w:marLeft w:val="0"/>
                                  <w:marRight w:val="0"/>
                                  <w:marTop w:val="0"/>
                                  <w:marBottom w:val="0"/>
                                  <w:divBdr>
                                    <w:top w:val="none" w:sz="0" w:space="0" w:color="auto"/>
                                    <w:left w:val="none" w:sz="0" w:space="0" w:color="auto"/>
                                    <w:bottom w:val="none" w:sz="0" w:space="0" w:color="auto"/>
                                    <w:right w:val="none" w:sz="0" w:space="0" w:color="auto"/>
                                  </w:divBdr>
                                  <w:divsChild>
                                    <w:div w:id="1766001369">
                                      <w:marLeft w:val="0"/>
                                      <w:marRight w:val="0"/>
                                      <w:marTop w:val="0"/>
                                      <w:marBottom w:val="0"/>
                                      <w:divBdr>
                                        <w:top w:val="none" w:sz="0" w:space="0" w:color="auto"/>
                                        <w:left w:val="none" w:sz="0" w:space="0" w:color="auto"/>
                                        <w:bottom w:val="none" w:sz="0" w:space="0" w:color="auto"/>
                                        <w:right w:val="none" w:sz="0" w:space="0" w:color="auto"/>
                                      </w:divBdr>
                                      <w:divsChild>
                                        <w:div w:id="2115704943">
                                          <w:marLeft w:val="0"/>
                                          <w:marRight w:val="0"/>
                                          <w:marTop w:val="0"/>
                                          <w:marBottom w:val="0"/>
                                          <w:divBdr>
                                            <w:top w:val="none" w:sz="0" w:space="0" w:color="auto"/>
                                            <w:left w:val="none" w:sz="0" w:space="0" w:color="auto"/>
                                            <w:bottom w:val="none" w:sz="0" w:space="0" w:color="auto"/>
                                            <w:right w:val="none" w:sz="0" w:space="0" w:color="auto"/>
                                          </w:divBdr>
                                          <w:divsChild>
                                            <w:div w:id="3299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673451">
      <w:bodyDiv w:val="1"/>
      <w:marLeft w:val="0"/>
      <w:marRight w:val="0"/>
      <w:marTop w:val="0"/>
      <w:marBottom w:val="0"/>
      <w:divBdr>
        <w:top w:val="none" w:sz="0" w:space="0" w:color="auto"/>
        <w:left w:val="none" w:sz="0" w:space="0" w:color="auto"/>
        <w:bottom w:val="none" w:sz="0" w:space="0" w:color="auto"/>
        <w:right w:val="none" w:sz="0" w:space="0" w:color="auto"/>
      </w:divBdr>
    </w:div>
    <w:div w:id="1750808589">
      <w:bodyDiv w:val="1"/>
      <w:marLeft w:val="0"/>
      <w:marRight w:val="0"/>
      <w:marTop w:val="0"/>
      <w:marBottom w:val="0"/>
      <w:divBdr>
        <w:top w:val="none" w:sz="0" w:space="0" w:color="auto"/>
        <w:left w:val="none" w:sz="0" w:space="0" w:color="auto"/>
        <w:bottom w:val="none" w:sz="0" w:space="0" w:color="auto"/>
        <w:right w:val="none" w:sz="0" w:space="0" w:color="auto"/>
      </w:divBdr>
      <w:divsChild>
        <w:div w:id="843322723">
          <w:marLeft w:val="0"/>
          <w:marRight w:val="0"/>
          <w:marTop w:val="0"/>
          <w:marBottom w:val="0"/>
          <w:divBdr>
            <w:top w:val="none" w:sz="0" w:space="0" w:color="auto"/>
            <w:left w:val="none" w:sz="0" w:space="0" w:color="auto"/>
            <w:bottom w:val="none" w:sz="0" w:space="0" w:color="auto"/>
            <w:right w:val="none" w:sz="0" w:space="0" w:color="auto"/>
          </w:divBdr>
        </w:div>
        <w:div w:id="64112573">
          <w:marLeft w:val="0"/>
          <w:marRight w:val="0"/>
          <w:marTop w:val="0"/>
          <w:marBottom w:val="0"/>
          <w:divBdr>
            <w:top w:val="none" w:sz="0" w:space="0" w:color="auto"/>
            <w:left w:val="none" w:sz="0" w:space="0" w:color="auto"/>
            <w:bottom w:val="none" w:sz="0" w:space="0" w:color="auto"/>
            <w:right w:val="none" w:sz="0" w:space="0" w:color="auto"/>
          </w:divBdr>
        </w:div>
        <w:div w:id="1149126782">
          <w:marLeft w:val="0"/>
          <w:marRight w:val="0"/>
          <w:marTop w:val="0"/>
          <w:marBottom w:val="0"/>
          <w:divBdr>
            <w:top w:val="none" w:sz="0" w:space="0" w:color="auto"/>
            <w:left w:val="none" w:sz="0" w:space="0" w:color="auto"/>
            <w:bottom w:val="none" w:sz="0" w:space="0" w:color="auto"/>
            <w:right w:val="none" w:sz="0" w:space="0" w:color="auto"/>
          </w:divBdr>
        </w:div>
      </w:divsChild>
    </w:div>
    <w:div w:id="2141997843">
      <w:bodyDiv w:val="1"/>
      <w:marLeft w:val="0"/>
      <w:marRight w:val="0"/>
      <w:marTop w:val="0"/>
      <w:marBottom w:val="0"/>
      <w:divBdr>
        <w:top w:val="none" w:sz="0" w:space="0" w:color="auto"/>
        <w:left w:val="none" w:sz="0" w:space="0" w:color="auto"/>
        <w:bottom w:val="none" w:sz="0" w:space="0" w:color="auto"/>
        <w:right w:val="none" w:sz="0" w:space="0" w:color="auto"/>
      </w:divBdr>
      <w:divsChild>
        <w:div w:id="606892218">
          <w:marLeft w:val="0"/>
          <w:marRight w:val="0"/>
          <w:marTop w:val="0"/>
          <w:marBottom w:val="0"/>
          <w:divBdr>
            <w:top w:val="none" w:sz="0" w:space="0" w:color="auto"/>
            <w:left w:val="none" w:sz="0" w:space="0" w:color="auto"/>
            <w:bottom w:val="none" w:sz="0" w:space="0" w:color="auto"/>
            <w:right w:val="none" w:sz="0" w:space="0" w:color="auto"/>
          </w:divBdr>
        </w:div>
        <w:div w:id="922645707">
          <w:marLeft w:val="0"/>
          <w:marRight w:val="0"/>
          <w:marTop w:val="0"/>
          <w:marBottom w:val="0"/>
          <w:divBdr>
            <w:top w:val="none" w:sz="0" w:space="0" w:color="auto"/>
            <w:left w:val="none" w:sz="0" w:space="0" w:color="auto"/>
            <w:bottom w:val="none" w:sz="0" w:space="0" w:color="auto"/>
            <w:right w:val="none" w:sz="0" w:space="0" w:color="auto"/>
          </w:divBdr>
        </w:div>
        <w:div w:id="83402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6aeltechnicalassistance@esc6.ne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B386AEB8F90545B5370100911533B1" ma:contentTypeVersion="5" ma:contentTypeDescription="Create a new document." ma:contentTypeScope="" ma:versionID="001cac146c3ca5b561216ddba486d57b">
  <xsd:schema xmlns:xsd="http://www.w3.org/2001/XMLSchema" xmlns:xs="http://www.w3.org/2001/XMLSchema" xmlns:p="http://schemas.microsoft.com/office/2006/metadata/properties" xmlns:ns2="2e99dc07-e376-472a-bed0-c1893c0a0246" xmlns:ns3="b7fda351-ac92-4a7a-9697-134735b92d36" targetNamespace="http://schemas.microsoft.com/office/2006/metadata/properties" ma:root="true" ma:fieldsID="06d5ea1b55c63fc602649567da7a0a5f" ns2:_="" ns3:_="">
    <xsd:import namespace="2e99dc07-e376-472a-bed0-c1893c0a0246"/>
    <xsd:import namespace="b7fda351-ac92-4a7a-9697-134735b92d36"/>
    <xsd:element name="properties">
      <xsd:complexType>
        <xsd:sequence>
          <xsd:element name="documentManagement">
            <xsd:complexType>
              <xsd:all>
                <xsd:element ref="ns2:_dlc_DocId" minOccurs="0"/>
                <xsd:element ref="ns2:_dlc_DocIdUrl" minOccurs="0"/>
                <xsd:element ref="ns2:_dlc_DocIdPersistId" minOccurs="0"/>
                <xsd:element ref="ns3:Issuance_x0020_Number" minOccurs="0"/>
                <xsd:element ref="ns3:Status"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da351-ac92-4a7a-9697-134735b92d36" elementFormDefault="qualified">
    <xsd:import namespace="http://schemas.microsoft.com/office/2006/documentManagement/types"/>
    <xsd:import namespace="http://schemas.microsoft.com/office/infopath/2007/PartnerControls"/>
    <xsd:element name="Issuance_x0020_Number" ma:index="11" nillable="true" ma:displayName="Issuance Number" ma:default="XX-XX" ma:internalName="Issuance_x0020_Number">
      <xsd:simpleType>
        <xsd:restriction base="dms:Text">
          <xsd:maxLength value="5"/>
        </xsd:restriction>
      </xsd:simpleType>
    </xsd:element>
    <xsd:element name="Status" ma:index="12" nillable="true" ma:displayName="Status" ma:default="Draft" ma:format="Dropdown" ma:internalName="Status">
      <xsd:simpleType>
        <xsd:restriction base="dms:Choice">
          <xsd:enumeration value="Draft"/>
          <xsd:enumeration value="Final"/>
          <xsd:enumeration value="Old"/>
        </xsd:restriction>
      </xsd:simpleType>
    </xsd:element>
    <xsd:element name="Document_x0020_Type" ma:index="13" nillable="true" ma:displayName="Document Type" ma:default="Issuance" ma:format="Dropdown" ma:internalName="Document_x0020_Type">
      <xsd:simpleType>
        <xsd:restriction base="dms:Choice">
          <xsd:enumeration value="Issuance"/>
          <xsd:enumeration value="Attachment"/>
          <xsd:enumeration value="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b7fda351-ac92-4a7a-9697-134735b92d36">Issuance</Document_x0020_Type>
    <Issuance_x0020_Number xmlns="b7fda351-ac92-4a7a-9697-134735b92d36">20-01</Issuance_x0020_Number>
    <Status xmlns="b7fda351-ac92-4a7a-9697-134735b92d36">Draft</Status>
    <_dlc_DocId xmlns="2e99dc07-e376-472a-bed0-c1893c0a0246">ZYW4KCRARF54-781983771-1062</_dlc_DocId>
    <_dlc_DocIdUrl xmlns="2e99dc07-e376-472a-bed0-c1893c0a0246">
      <Url>http://hs.hgac.net/wf/manuals/_layouts/15/DocIdRedir.aspx?ID=ZYW4KCRARF54-781983771-1062</Url>
      <Description>ZYW4KCRARF54-781983771-1062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8E448-B138-4EE9-AC73-EC8B1A38C1C0}">
  <ds:schemaRefs>
    <ds:schemaRef ds:uri="http://schemas.microsoft.com/sharepoint/v3/contenttype/forms"/>
  </ds:schemaRefs>
</ds:datastoreItem>
</file>

<file path=customXml/itemProps2.xml><?xml version="1.0" encoding="utf-8"?>
<ds:datastoreItem xmlns:ds="http://schemas.openxmlformats.org/officeDocument/2006/customXml" ds:itemID="{74BC8BEA-AC24-4BCE-9CD8-8A166FF03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b7fda351-ac92-4a7a-9697-134735b9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7DC2D-17E7-4EAC-8427-D05D2B0403AF}">
  <ds:schemaRefs>
    <ds:schemaRef ds:uri="http://schemas.microsoft.com/sharepoint/events"/>
  </ds:schemaRefs>
</ds:datastoreItem>
</file>

<file path=customXml/itemProps4.xml><?xml version="1.0" encoding="utf-8"?>
<ds:datastoreItem xmlns:ds="http://schemas.openxmlformats.org/officeDocument/2006/customXml" ds:itemID="{889561D8-1CE1-475E-8A90-2B9BE831E9D8}">
  <ds:schemaRefs>
    <ds:schemaRef ds:uri="http://schemas.microsoft.com/office/2006/metadata/properties"/>
    <ds:schemaRef ds:uri="http://schemas.microsoft.com/office/infopath/2007/PartnerControls"/>
    <ds:schemaRef ds:uri="b7fda351-ac92-4a7a-9697-134735b92d36"/>
    <ds:schemaRef ds:uri="2e99dc07-e376-472a-bed0-c1893c0a0246"/>
  </ds:schemaRefs>
</ds:datastoreItem>
</file>

<file path=customXml/itemProps5.xml><?xml version="1.0" encoding="utf-8"?>
<ds:datastoreItem xmlns:ds="http://schemas.openxmlformats.org/officeDocument/2006/customXml" ds:itemID="{8DC889F7-11DF-435F-9054-C88E4F9D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20-01 Federal Tax Credits and No-Cost Tax Filing Assistance</vt:lpstr>
    </vt:vector>
  </TitlesOfParts>
  <Company>Houston-Galveston Area Council</Company>
  <LinksUpToDate>false</LinksUpToDate>
  <CharactersWithSpaces>7339</CharactersWithSpaces>
  <SharedDoc>false</SharedDoc>
  <HLinks>
    <vt:vector size="30" baseType="variant">
      <vt:variant>
        <vt:i4>5701697</vt:i4>
      </vt:variant>
      <vt:variant>
        <vt:i4>12</vt:i4>
      </vt:variant>
      <vt:variant>
        <vt:i4>0</vt:i4>
      </vt:variant>
      <vt:variant>
        <vt:i4>5</vt:i4>
      </vt:variant>
      <vt:variant>
        <vt:lpwstr>http://www.wrksolutions.com/staff/policiesandprocedures.html</vt:lpwstr>
      </vt:variant>
      <vt:variant>
        <vt:lpwstr/>
      </vt:variant>
      <vt:variant>
        <vt:i4>1638519</vt:i4>
      </vt:variant>
      <vt:variant>
        <vt:i4>9</vt:i4>
      </vt:variant>
      <vt:variant>
        <vt:i4>0</vt:i4>
      </vt:variant>
      <vt:variant>
        <vt:i4>5</vt:i4>
      </vt:variant>
      <vt:variant>
        <vt:lpwstr>mailto:ginger.rogers@wrksolutions.com</vt:lpwstr>
      </vt:variant>
      <vt:variant>
        <vt:lpwstr/>
      </vt:variant>
      <vt:variant>
        <vt:i4>7667773</vt:i4>
      </vt:variant>
      <vt:variant>
        <vt:i4>6</vt:i4>
      </vt:variant>
      <vt:variant>
        <vt:i4>0</vt:i4>
      </vt:variant>
      <vt:variant>
        <vt:i4>5</vt:i4>
      </vt:variant>
      <vt:variant>
        <vt:lpwstr>http://eitcoutreach.org/category/outreach-tools</vt:lpwstr>
      </vt:variant>
      <vt:variant>
        <vt:lpwstr/>
      </vt:variant>
      <vt:variant>
        <vt:i4>6488175</vt:i4>
      </vt:variant>
      <vt:variant>
        <vt:i4>3</vt:i4>
      </vt:variant>
      <vt:variant>
        <vt:i4>0</vt:i4>
      </vt:variant>
      <vt:variant>
        <vt:i4>5</vt:i4>
      </vt:variant>
      <vt:variant>
        <vt:lpwstr>http://www.irs.gov/individuals/article/0,,id=219171,00.html</vt:lpwstr>
      </vt:variant>
      <vt:variant>
        <vt:lpwstr/>
      </vt:variant>
      <vt:variant>
        <vt:i4>393299</vt:i4>
      </vt:variant>
      <vt:variant>
        <vt:i4>0</vt:i4>
      </vt:variant>
      <vt:variant>
        <vt:i4>0</vt:i4>
      </vt:variant>
      <vt:variant>
        <vt:i4>5</vt:i4>
      </vt:variant>
      <vt:variant>
        <vt:lpwstr>http://eitcoutreach.org/category/new-2012-outreach-materials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17-03-Implementing and Reporting Workforce Preparation Activities</dc:title>
  <dc:subject>15-02 Federal Tax Credits and No-Cost Tax Filing Assistance</dc:subject>
  <dc:creator>David Baggerly</dc:creator>
  <cp:keywords>17-03-Implementing and Reporting Workforce Preparation Activities</cp:keywords>
  <cp:lastModifiedBy>Nguyen, Dat</cp:lastModifiedBy>
  <cp:revision>6</cp:revision>
  <cp:lastPrinted>2014-12-19T19:08:00Z</cp:lastPrinted>
  <dcterms:created xsi:type="dcterms:W3CDTF">2020-06-29T16:58:00Z</dcterms:created>
  <dcterms:modified xsi:type="dcterms:W3CDTF">2020-09-03T08:51:00Z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0x0101002FB386AEB8F90545B5370100911533B1</vt:lpwstr>
  </property>
  <property fmtid="{D5CDD505-2E9C-101B-9397-08002B2CF9AE}" pid="3" name="_dlc_DocIdItemGuid">
    <vt:lpwstr>3643f57c-8623-492a-805c-cced54e65e03</vt:lpwstr>
  </property>
</Properties>
</file>