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3345" w14:textId="77777777" w:rsidR="00A36F18" w:rsidRPr="00ED5921" w:rsidRDefault="00A36F18" w:rsidP="00A36F18">
      <w:pPr>
        <w:pStyle w:val="Header"/>
        <w:jc w:val="center"/>
        <w:rPr>
          <w:sz w:val="300"/>
          <w:szCs w:val="300"/>
        </w:rPr>
      </w:pPr>
    </w:p>
    <w:p w14:paraId="3E0AB1B0" w14:textId="77777777" w:rsidR="00A36F18" w:rsidRDefault="00A36F18" w:rsidP="00A36F18">
      <w:pPr>
        <w:pStyle w:val="Header"/>
        <w:jc w:val="center"/>
      </w:pPr>
      <w:r>
        <w:rPr>
          <w:b/>
          <w:noProof/>
        </w:rPr>
        <w:drawing>
          <wp:inline distT="0" distB="0" distL="0" distR="0" wp14:anchorId="2977A046" wp14:editId="6D4C6A4E">
            <wp:extent cx="3114675" cy="819150"/>
            <wp:effectExtent l="0" t="0" r="9525" b="0"/>
            <wp:docPr id="3" name="Picture 3" descr="W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7BB0" w14:textId="77777777" w:rsidR="00A36F18" w:rsidRDefault="00A36F18" w:rsidP="00A36F18">
      <w:pPr>
        <w:pStyle w:val="Header"/>
        <w:jc w:val="center"/>
      </w:pPr>
    </w:p>
    <w:p w14:paraId="7348E51A" w14:textId="77777777" w:rsidR="00A36F18" w:rsidRDefault="00A36F18" w:rsidP="00A36F18">
      <w:pPr>
        <w:pStyle w:val="Header"/>
        <w:jc w:val="center"/>
      </w:pPr>
    </w:p>
    <w:p w14:paraId="4E8A124D" w14:textId="77777777" w:rsidR="00A36F18" w:rsidRDefault="00A36F18" w:rsidP="00A36F18">
      <w:pPr>
        <w:pStyle w:val="Header"/>
        <w:jc w:val="center"/>
      </w:pPr>
    </w:p>
    <w:p w14:paraId="21ECF78E" w14:textId="77777777" w:rsidR="00A36F18" w:rsidRDefault="00A36F18" w:rsidP="00A36F18">
      <w:pPr>
        <w:pStyle w:val="Header"/>
        <w:jc w:val="center"/>
      </w:pPr>
    </w:p>
    <w:p w14:paraId="1AE1C56D" w14:textId="77777777" w:rsidR="00A36F18" w:rsidRDefault="00A36F18" w:rsidP="00A36F18">
      <w:pPr>
        <w:pStyle w:val="Header"/>
        <w:jc w:val="center"/>
      </w:pPr>
    </w:p>
    <w:p w14:paraId="625F9AF9" w14:textId="77777777" w:rsidR="00A36F18" w:rsidRDefault="00A36F18" w:rsidP="00A36F18">
      <w:pPr>
        <w:pStyle w:val="Header"/>
        <w:jc w:val="center"/>
      </w:pPr>
    </w:p>
    <w:p w14:paraId="08C91B07" w14:textId="77777777" w:rsidR="00A36F18" w:rsidRDefault="00A36F18" w:rsidP="00A36F18">
      <w:pPr>
        <w:pStyle w:val="Header"/>
        <w:spacing w:line="480" w:lineRule="auto"/>
        <w:jc w:val="center"/>
        <w:rPr>
          <w:b/>
          <w:sz w:val="44"/>
          <w:szCs w:val="44"/>
        </w:rPr>
      </w:pPr>
      <w:r w:rsidRPr="0008233C">
        <w:rPr>
          <w:b/>
          <w:sz w:val="44"/>
          <w:szCs w:val="44"/>
        </w:rPr>
        <w:t xml:space="preserve">Workforce Solutions </w:t>
      </w:r>
    </w:p>
    <w:p w14:paraId="261E837B" w14:textId="51A6A991" w:rsidR="00A36F18" w:rsidRDefault="00C72515" w:rsidP="00A36F18">
      <w:pPr>
        <w:pStyle w:val="Header"/>
        <w:spacing w:line="480" w:lineRule="auto"/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Outplacement</w:t>
      </w:r>
      <w:r w:rsidR="00605050">
        <w:rPr>
          <w:b/>
          <w:sz w:val="44"/>
          <w:szCs w:val="44"/>
        </w:rPr>
        <w:t xml:space="preserve"> </w:t>
      </w:r>
      <w:r w:rsidR="00A36F18" w:rsidRPr="0008233C">
        <w:rPr>
          <w:b/>
          <w:sz w:val="44"/>
          <w:szCs w:val="44"/>
        </w:rPr>
        <w:t>Standards and Guidelines</w:t>
      </w:r>
    </w:p>
    <w:bookmarkEnd w:id="0"/>
    <w:p w14:paraId="7BA6D867" w14:textId="77777777" w:rsidR="00A36F18" w:rsidRDefault="00A36F18" w:rsidP="00A36F18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6B5B4175" w14:textId="70B43B19" w:rsidR="008E2885" w:rsidRDefault="00A36F18" w:rsidP="0097566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 xml:space="preserve"> TOC \o "1-4" \h \z \u </w:instrText>
      </w:r>
      <w:r>
        <w:rPr>
          <w:sz w:val="24"/>
        </w:rPr>
        <w:fldChar w:fldCharType="separate"/>
      </w:r>
      <w:hyperlink w:anchor="_Toc972725" w:history="1">
        <w:r w:rsidR="008E2885" w:rsidRPr="00041224">
          <w:rPr>
            <w:rStyle w:val="Hyperlink"/>
          </w:rPr>
          <w:t>I.</w:t>
        </w:r>
        <w:r w:rsidR="008E288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2885" w:rsidRPr="00041224">
          <w:rPr>
            <w:rStyle w:val="Hyperlink"/>
          </w:rPr>
          <w:t>Standard</w:t>
        </w:r>
        <w:r w:rsidR="008E2885">
          <w:rPr>
            <w:webHidden/>
          </w:rPr>
          <w:tab/>
        </w:r>
        <w:r w:rsidR="008E2885">
          <w:rPr>
            <w:webHidden/>
          </w:rPr>
          <w:fldChar w:fldCharType="begin"/>
        </w:r>
        <w:r w:rsidR="008E2885">
          <w:rPr>
            <w:webHidden/>
          </w:rPr>
          <w:instrText xml:space="preserve"> PAGEREF _Toc972725 \h </w:instrText>
        </w:r>
        <w:r w:rsidR="008E2885">
          <w:rPr>
            <w:webHidden/>
          </w:rPr>
        </w:r>
        <w:r w:rsidR="008E2885">
          <w:rPr>
            <w:webHidden/>
          </w:rPr>
          <w:fldChar w:fldCharType="separate"/>
        </w:r>
        <w:r w:rsidR="00942D99">
          <w:rPr>
            <w:webHidden/>
          </w:rPr>
          <w:t>2</w:t>
        </w:r>
        <w:r w:rsidR="008E2885">
          <w:rPr>
            <w:webHidden/>
          </w:rPr>
          <w:fldChar w:fldCharType="end"/>
        </w:r>
      </w:hyperlink>
    </w:p>
    <w:p w14:paraId="26EB1766" w14:textId="58B9F145" w:rsidR="008E2885" w:rsidRDefault="00751E0B" w:rsidP="0097566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972726" w:history="1">
        <w:r w:rsidR="008E2885" w:rsidRPr="00041224">
          <w:rPr>
            <w:rStyle w:val="Hyperlink"/>
          </w:rPr>
          <w:t>II.</w:t>
        </w:r>
        <w:r w:rsidR="008E288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2885" w:rsidRPr="00041224">
          <w:rPr>
            <w:rStyle w:val="Hyperlink"/>
          </w:rPr>
          <w:t>Overview</w:t>
        </w:r>
        <w:r w:rsidR="008E2885">
          <w:rPr>
            <w:webHidden/>
          </w:rPr>
          <w:tab/>
        </w:r>
        <w:r w:rsidR="008E2885">
          <w:rPr>
            <w:webHidden/>
          </w:rPr>
          <w:fldChar w:fldCharType="begin"/>
        </w:r>
        <w:r w:rsidR="008E2885">
          <w:rPr>
            <w:webHidden/>
          </w:rPr>
          <w:instrText xml:space="preserve"> PAGEREF _Toc972726 \h </w:instrText>
        </w:r>
        <w:r w:rsidR="008E2885">
          <w:rPr>
            <w:webHidden/>
          </w:rPr>
        </w:r>
        <w:r w:rsidR="008E2885">
          <w:rPr>
            <w:webHidden/>
          </w:rPr>
          <w:fldChar w:fldCharType="separate"/>
        </w:r>
        <w:r w:rsidR="00942D99">
          <w:rPr>
            <w:webHidden/>
          </w:rPr>
          <w:t>2</w:t>
        </w:r>
        <w:r w:rsidR="008E2885">
          <w:rPr>
            <w:webHidden/>
          </w:rPr>
          <w:fldChar w:fldCharType="end"/>
        </w:r>
      </w:hyperlink>
    </w:p>
    <w:p w14:paraId="23ED5B21" w14:textId="2467D64A" w:rsidR="008E2885" w:rsidRDefault="00751E0B" w:rsidP="0097566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972727" w:history="1">
        <w:r w:rsidR="008E2885" w:rsidRPr="00041224">
          <w:rPr>
            <w:rStyle w:val="Hyperlink"/>
          </w:rPr>
          <w:t>III.</w:t>
        </w:r>
        <w:r w:rsidR="008E288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2885" w:rsidRPr="00041224">
          <w:rPr>
            <w:rStyle w:val="Hyperlink"/>
          </w:rPr>
          <w:t>Process</w:t>
        </w:r>
        <w:r w:rsidR="008E2885">
          <w:rPr>
            <w:webHidden/>
          </w:rPr>
          <w:tab/>
        </w:r>
        <w:r w:rsidR="008E2885">
          <w:rPr>
            <w:webHidden/>
          </w:rPr>
          <w:fldChar w:fldCharType="begin"/>
        </w:r>
        <w:r w:rsidR="008E2885">
          <w:rPr>
            <w:webHidden/>
          </w:rPr>
          <w:instrText xml:space="preserve"> PAGEREF _Toc972727 \h </w:instrText>
        </w:r>
        <w:r w:rsidR="008E2885">
          <w:rPr>
            <w:webHidden/>
          </w:rPr>
        </w:r>
        <w:r w:rsidR="008E2885">
          <w:rPr>
            <w:webHidden/>
          </w:rPr>
          <w:fldChar w:fldCharType="separate"/>
        </w:r>
        <w:r w:rsidR="00942D99">
          <w:rPr>
            <w:webHidden/>
          </w:rPr>
          <w:t>3</w:t>
        </w:r>
        <w:r w:rsidR="008E2885">
          <w:rPr>
            <w:webHidden/>
          </w:rPr>
          <w:fldChar w:fldCharType="end"/>
        </w:r>
      </w:hyperlink>
    </w:p>
    <w:p w14:paraId="63CDC7DE" w14:textId="67CF0E96" w:rsidR="008E2885" w:rsidRDefault="00751E0B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72728" w:history="1">
        <w:r w:rsidR="008E2885" w:rsidRPr="00041224">
          <w:rPr>
            <w:rStyle w:val="Hyperlink"/>
            <w:noProof/>
          </w:rPr>
          <w:t>A.</w:t>
        </w:r>
        <w:r w:rsidR="008E2885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E2885" w:rsidRPr="00041224">
          <w:rPr>
            <w:rStyle w:val="Hyperlink"/>
            <w:noProof/>
          </w:rPr>
          <w:t>First Action: Introduction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_Toc972728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3</w:t>
        </w:r>
        <w:r w:rsidR="008E2885">
          <w:rPr>
            <w:noProof/>
            <w:webHidden/>
          </w:rPr>
          <w:fldChar w:fldCharType="end"/>
        </w:r>
      </w:hyperlink>
    </w:p>
    <w:p w14:paraId="68798968" w14:textId="0876F7B9" w:rsidR="008E2885" w:rsidRDefault="00751E0B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72729" w:history="1">
        <w:r w:rsidR="008E2885" w:rsidRPr="00041224">
          <w:rPr>
            <w:rStyle w:val="Hyperlink"/>
            <w:noProof/>
          </w:rPr>
          <w:t>B.</w:t>
        </w:r>
        <w:r w:rsidR="008E2885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E2885" w:rsidRPr="00041224">
          <w:rPr>
            <w:rStyle w:val="Hyperlink"/>
            <w:noProof/>
          </w:rPr>
          <w:t>Second Action: Onsite Management Meeting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_Toc972729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3</w:t>
        </w:r>
        <w:r w:rsidR="008E2885">
          <w:rPr>
            <w:noProof/>
            <w:webHidden/>
          </w:rPr>
          <w:fldChar w:fldCharType="end"/>
        </w:r>
      </w:hyperlink>
    </w:p>
    <w:p w14:paraId="19993AFE" w14:textId="3DB7DE31" w:rsidR="008E2885" w:rsidRDefault="00751E0B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72730" w:history="1">
        <w:r w:rsidR="008E2885" w:rsidRPr="00041224">
          <w:rPr>
            <w:rStyle w:val="Hyperlink"/>
            <w:noProof/>
          </w:rPr>
          <w:t>C.</w:t>
        </w:r>
        <w:r w:rsidR="008E2885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E2885" w:rsidRPr="00041224">
          <w:rPr>
            <w:rStyle w:val="Hyperlink"/>
            <w:noProof/>
          </w:rPr>
          <w:t>Third Action: Orientation Event Preparation and Presentation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_Toc972730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5</w:t>
        </w:r>
        <w:r w:rsidR="008E2885">
          <w:rPr>
            <w:noProof/>
            <w:webHidden/>
          </w:rPr>
          <w:fldChar w:fldCharType="end"/>
        </w:r>
      </w:hyperlink>
    </w:p>
    <w:p w14:paraId="2678DE71" w14:textId="470FFFBC" w:rsidR="008E2885" w:rsidRDefault="00751E0B" w:rsidP="007333DD">
      <w:pPr>
        <w:pStyle w:val="TOC3"/>
        <w:rPr>
          <w:noProof/>
        </w:rPr>
      </w:pPr>
      <w:hyperlink w:anchor="_Toc972731" w:history="1">
        <w:r w:rsidR="008E2885" w:rsidRPr="00041224">
          <w:rPr>
            <w:rStyle w:val="Hyperlink"/>
            <w:noProof/>
          </w:rPr>
          <w:t>Preparation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_Toc972731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5</w:t>
        </w:r>
        <w:r w:rsidR="008E2885">
          <w:rPr>
            <w:noProof/>
            <w:webHidden/>
          </w:rPr>
          <w:fldChar w:fldCharType="end"/>
        </w:r>
      </w:hyperlink>
    </w:p>
    <w:p w14:paraId="05FA696D" w14:textId="6925D29D" w:rsidR="008E2885" w:rsidRDefault="00751E0B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72732" w:history="1">
        <w:r w:rsidR="008E2885" w:rsidRPr="00041224">
          <w:rPr>
            <w:rStyle w:val="Hyperlink"/>
            <w:noProof/>
          </w:rPr>
          <w:t>D.</w:t>
        </w:r>
        <w:r w:rsidR="008E2885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E2885" w:rsidRPr="00041224">
          <w:rPr>
            <w:rStyle w:val="Hyperlink"/>
            <w:noProof/>
          </w:rPr>
          <w:t>Fourth Action: Administrative Duties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_Toc972732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6</w:t>
        </w:r>
        <w:r w:rsidR="008E2885">
          <w:rPr>
            <w:noProof/>
            <w:webHidden/>
          </w:rPr>
          <w:fldChar w:fldCharType="end"/>
        </w:r>
      </w:hyperlink>
    </w:p>
    <w:p w14:paraId="72AB1BF0" w14:textId="07E81376" w:rsidR="008E2885" w:rsidRDefault="00751E0B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972733" w:history="1">
        <w:r w:rsidR="008E2885" w:rsidRPr="00041224">
          <w:rPr>
            <w:rStyle w:val="Hyperlink"/>
            <w:noProof/>
          </w:rPr>
          <w:t>E.</w:t>
        </w:r>
        <w:r w:rsidR="008E2885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E2885" w:rsidRPr="00041224">
          <w:rPr>
            <w:rStyle w:val="Hyperlink"/>
            <w:noProof/>
          </w:rPr>
          <w:t>Trade Adjustment Assistance (TAA) Activation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_Toc972733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6</w:t>
        </w:r>
        <w:r w:rsidR="008E2885">
          <w:rPr>
            <w:noProof/>
            <w:webHidden/>
          </w:rPr>
          <w:fldChar w:fldCharType="end"/>
        </w:r>
      </w:hyperlink>
    </w:p>
    <w:p w14:paraId="295BBFDF" w14:textId="3220ED4B" w:rsidR="008E2885" w:rsidRDefault="00751E0B" w:rsidP="007333DD">
      <w:pPr>
        <w:pStyle w:val="TOC3"/>
        <w:rPr>
          <w:noProof/>
        </w:rPr>
      </w:pPr>
      <w:hyperlink w:anchor="_Toc972734" w:history="1">
        <w:r w:rsidR="00671BC2">
          <w:rPr>
            <w:rStyle w:val="Hyperlink"/>
            <w:noProof/>
          </w:rPr>
          <w:t>Outplacement</w:t>
        </w:r>
        <w:r w:rsidR="008E2885" w:rsidRPr="00041224">
          <w:rPr>
            <w:rStyle w:val="Hyperlink"/>
            <w:noProof/>
          </w:rPr>
          <w:t xml:space="preserve"> Coordinator Duties for TAA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_Toc972734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7</w:t>
        </w:r>
        <w:r w:rsidR="008E2885">
          <w:rPr>
            <w:noProof/>
            <w:webHidden/>
          </w:rPr>
          <w:fldChar w:fldCharType="end"/>
        </w:r>
      </w:hyperlink>
    </w:p>
    <w:p w14:paraId="3FDCA740" w14:textId="03B191CE" w:rsidR="008E2885" w:rsidRDefault="00751E0B" w:rsidP="007333DD">
      <w:pPr>
        <w:pStyle w:val="TOC3"/>
        <w:rPr>
          <w:noProof/>
        </w:rPr>
      </w:pPr>
      <w:hyperlink w:anchor="_Toc972735" w:history="1">
        <w:r w:rsidR="008E2885" w:rsidRPr="00041224">
          <w:rPr>
            <w:rStyle w:val="Hyperlink"/>
            <w:noProof/>
          </w:rPr>
          <w:t>TAA Orientation</w:t>
        </w:r>
        <w:r w:rsidR="008E2885">
          <w:rPr>
            <w:noProof/>
            <w:webHidden/>
          </w:rPr>
          <w:tab/>
        </w:r>
        <w:r w:rsidR="008E2885">
          <w:rPr>
            <w:noProof/>
            <w:webHidden/>
          </w:rPr>
          <w:fldChar w:fldCharType="begin"/>
        </w:r>
        <w:r w:rsidR="008E2885">
          <w:rPr>
            <w:noProof/>
            <w:webHidden/>
          </w:rPr>
          <w:instrText xml:space="preserve"> PAGEREF _Toc972735 \h </w:instrText>
        </w:r>
        <w:r w:rsidR="008E2885">
          <w:rPr>
            <w:noProof/>
            <w:webHidden/>
          </w:rPr>
        </w:r>
        <w:r w:rsidR="008E2885">
          <w:rPr>
            <w:noProof/>
            <w:webHidden/>
          </w:rPr>
          <w:fldChar w:fldCharType="separate"/>
        </w:r>
        <w:r w:rsidR="00942D99">
          <w:rPr>
            <w:noProof/>
            <w:webHidden/>
          </w:rPr>
          <w:t>7</w:t>
        </w:r>
        <w:r w:rsidR="008E2885">
          <w:rPr>
            <w:noProof/>
            <w:webHidden/>
          </w:rPr>
          <w:fldChar w:fldCharType="end"/>
        </w:r>
      </w:hyperlink>
    </w:p>
    <w:p w14:paraId="0F0928E8" w14:textId="2183558B" w:rsidR="008E2885" w:rsidRDefault="00751E0B" w:rsidP="0097566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972736" w:history="1">
        <w:r w:rsidR="008E2885" w:rsidRPr="00041224">
          <w:rPr>
            <w:rStyle w:val="Hyperlink"/>
          </w:rPr>
          <w:t>IV.</w:t>
        </w:r>
        <w:r w:rsidR="008E288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2885" w:rsidRPr="00041224">
          <w:rPr>
            <w:rStyle w:val="Hyperlink"/>
          </w:rPr>
          <w:t>Forms</w:t>
        </w:r>
        <w:r w:rsidR="008E2885">
          <w:rPr>
            <w:webHidden/>
          </w:rPr>
          <w:tab/>
        </w:r>
        <w:r w:rsidR="008E2885">
          <w:rPr>
            <w:webHidden/>
          </w:rPr>
          <w:fldChar w:fldCharType="begin"/>
        </w:r>
        <w:r w:rsidR="008E2885">
          <w:rPr>
            <w:webHidden/>
          </w:rPr>
          <w:instrText xml:space="preserve"> PAGEREF _Toc972736 \h </w:instrText>
        </w:r>
        <w:r w:rsidR="008E2885">
          <w:rPr>
            <w:webHidden/>
          </w:rPr>
        </w:r>
        <w:r w:rsidR="008E2885">
          <w:rPr>
            <w:webHidden/>
          </w:rPr>
          <w:fldChar w:fldCharType="separate"/>
        </w:r>
        <w:r w:rsidR="00942D99">
          <w:rPr>
            <w:webHidden/>
          </w:rPr>
          <w:t>7</w:t>
        </w:r>
        <w:r w:rsidR="008E2885">
          <w:rPr>
            <w:webHidden/>
          </w:rPr>
          <w:fldChar w:fldCharType="end"/>
        </w:r>
      </w:hyperlink>
    </w:p>
    <w:p w14:paraId="244567BC" w14:textId="66CD419E" w:rsidR="008A3955" w:rsidRDefault="00A36F18" w:rsidP="008A3955">
      <w:r>
        <w:fldChar w:fldCharType="end"/>
      </w:r>
    </w:p>
    <w:p w14:paraId="1DF37995" w14:textId="77777777" w:rsidR="008A3955" w:rsidRDefault="008A3955">
      <w:pPr>
        <w:spacing w:after="200" w:line="276" w:lineRule="auto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  <w:r>
        <w:br w:type="page"/>
      </w:r>
    </w:p>
    <w:p w14:paraId="27C317B2" w14:textId="15A960CE" w:rsidR="00F10327" w:rsidRPr="00AB1BF4" w:rsidRDefault="00F10327" w:rsidP="008A3955">
      <w:pPr>
        <w:pStyle w:val="Heading1"/>
      </w:pPr>
      <w:bookmarkStart w:id="1" w:name="_Toc972725"/>
      <w:r w:rsidRPr="008A3955">
        <w:lastRenderedPageBreak/>
        <w:t>Standard</w:t>
      </w:r>
      <w:bookmarkEnd w:id="1"/>
      <w:r w:rsidRPr="00AB1BF4">
        <w:t xml:space="preserve"> </w:t>
      </w:r>
    </w:p>
    <w:p w14:paraId="0BFFDBA7" w14:textId="77777777" w:rsidR="00C72515" w:rsidRDefault="00C72515" w:rsidP="00C72515">
      <w:pPr>
        <w:pStyle w:val="BodyText"/>
      </w:pPr>
      <w:r>
        <w:t>Workforce Solutions helps employers when they face layoffs, downsizing or closings.  We work with employers, employer associations, local elected officials, and community partners to reduce the impact of a layoff or closing on the local economy and on the affected workers.  When appropriate, Workforce Solutions can suggest and support layoff aversion strategies to avoid or lessen the severity of a layoff.</w:t>
      </w:r>
      <w:r w:rsidRPr="00280C3E">
        <w:t xml:space="preserve"> </w:t>
      </w:r>
    </w:p>
    <w:p w14:paraId="719A4EB0" w14:textId="77777777" w:rsidR="00C72515" w:rsidRDefault="00C72515" w:rsidP="00C72515">
      <w:pPr>
        <w:pStyle w:val="BodyText"/>
      </w:pPr>
    </w:p>
    <w:p w14:paraId="47C9988B" w14:textId="77777777" w:rsidR="00C72515" w:rsidRDefault="00C72515" w:rsidP="00C72515">
      <w:pPr>
        <w:pStyle w:val="BodyText"/>
      </w:pPr>
      <w:r>
        <w:t>We work for the following results from outplacement activities:</w:t>
      </w:r>
    </w:p>
    <w:p w14:paraId="1BEDE7D6" w14:textId="4B495388" w:rsidR="00C72515" w:rsidRDefault="00C72515" w:rsidP="00C72515">
      <w:pPr>
        <w:pStyle w:val="BodyText"/>
        <w:numPr>
          <w:ilvl w:val="0"/>
          <w:numId w:val="27"/>
        </w:numPr>
      </w:pPr>
      <w:r>
        <w:t>Ensuring workers affected by a layoff, downsizing or closing can transition into new jobs</w:t>
      </w:r>
    </w:p>
    <w:p w14:paraId="571656DB" w14:textId="06CA2E1E" w:rsidR="00C72515" w:rsidRDefault="00C72515" w:rsidP="00C72515">
      <w:pPr>
        <w:pStyle w:val="BodyText"/>
        <w:numPr>
          <w:ilvl w:val="0"/>
          <w:numId w:val="27"/>
        </w:numPr>
      </w:pPr>
      <w:r>
        <w:t>Ensuring employers are aware of and can take advantage of technical assistance, community resources, or other strategies to avoid or reduce the impact of a layoff, downsizing or closing.</w:t>
      </w:r>
    </w:p>
    <w:p w14:paraId="58E91139" w14:textId="77777777" w:rsidR="0057782F" w:rsidRDefault="0057782F" w:rsidP="0057782F">
      <w:pPr>
        <w:pStyle w:val="BodyText"/>
      </w:pPr>
    </w:p>
    <w:p w14:paraId="32DC64E6" w14:textId="77777777" w:rsidR="0057782F" w:rsidRDefault="0057782F" w:rsidP="0057782F">
      <w:pPr>
        <w:rPr>
          <w:snapToGrid w:val="0"/>
        </w:rPr>
      </w:pPr>
    </w:p>
    <w:p w14:paraId="4C17894C" w14:textId="373571DD" w:rsidR="0057782F" w:rsidRPr="005909A2" w:rsidRDefault="0057782F" w:rsidP="008A3955">
      <w:pPr>
        <w:pStyle w:val="Heading1"/>
        <w:rPr>
          <w:b/>
        </w:rPr>
      </w:pPr>
      <w:bookmarkStart w:id="2" w:name="_Toc972726"/>
      <w:r w:rsidRPr="005909A2">
        <w:t>Overview</w:t>
      </w:r>
      <w:bookmarkEnd w:id="2"/>
      <w:r w:rsidRPr="005909A2">
        <w:t xml:space="preserve"> </w:t>
      </w:r>
    </w:p>
    <w:p w14:paraId="3DFB043F" w14:textId="7E9E0765" w:rsidR="0057782F" w:rsidRDefault="00C72515" w:rsidP="0057782F">
      <w:r>
        <w:t xml:space="preserve">The Gulf Coast Workforce Board Employer Service staff </w:t>
      </w:r>
      <w:r w:rsidR="00D15CA8">
        <w:t>oversees Workforce Solutions efforts to respond to layoffs, downsizings or closings</w:t>
      </w:r>
      <w:r w:rsidR="0057782F" w:rsidRPr="00EC71CD">
        <w:t>.</w:t>
      </w:r>
      <w:r w:rsidR="00D15CA8">
        <w:t xml:space="preserve">  Our staff includes a</w:t>
      </w:r>
      <w:r w:rsidR="00463A9D">
        <w:t>n account executive who coordinates</w:t>
      </w:r>
      <w:r w:rsidR="00D15CA8">
        <w:t xml:space="preserve"> service.</w:t>
      </w:r>
    </w:p>
    <w:p w14:paraId="61DEC458" w14:textId="77777777" w:rsidR="0057782F" w:rsidRDefault="0057782F" w:rsidP="0057782F"/>
    <w:p w14:paraId="3A1F4D8B" w14:textId="4BF0F5A2" w:rsidR="0057782F" w:rsidRDefault="00D15CA8" w:rsidP="0057782F">
      <w:r w:rsidRPr="00D15CA8">
        <w:rPr>
          <w:u w:val="single"/>
        </w:rPr>
        <w:t>At a minimum</w:t>
      </w:r>
      <w:r>
        <w:t>, we offer outplacement to employers:</w:t>
      </w:r>
    </w:p>
    <w:p w14:paraId="5DEEA4B6" w14:textId="540EAF95" w:rsidR="0057782F" w:rsidRDefault="0057782F" w:rsidP="0057782F">
      <w:pPr>
        <w:pStyle w:val="ListParagraph"/>
        <w:numPr>
          <w:ilvl w:val="0"/>
          <w:numId w:val="14"/>
        </w:numPr>
        <w:spacing w:before="0" w:after="0"/>
      </w:pPr>
      <w:r>
        <w:t>In the event of mass layoffs and plant closings involving 50 or more workers</w:t>
      </w:r>
      <w:r w:rsidR="00D15CA8">
        <w:t xml:space="preserve"> as well as smaller events affecting less than 50 workers</w:t>
      </w:r>
    </w:p>
    <w:p w14:paraId="2FAAD6A1" w14:textId="01D8FC07" w:rsidR="00D15CA8" w:rsidRDefault="00D15CA8" w:rsidP="0057782F">
      <w:pPr>
        <w:pStyle w:val="ListParagraph"/>
        <w:numPr>
          <w:ilvl w:val="0"/>
          <w:numId w:val="14"/>
        </w:numPr>
        <w:spacing w:before="0" w:after="0"/>
      </w:pPr>
      <w:r>
        <w:t>When a company files a WARN (Worker Adjustment and Retraining Notice) with a local chief elected official and the Texas Workforce Commission</w:t>
      </w:r>
    </w:p>
    <w:p w14:paraId="2731C471" w14:textId="5B3BB627" w:rsidR="0057782F" w:rsidRDefault="00D15CA8" w:rsidP="0057782F">
      <w:pPr>
        <w:pStyle w:val="ListParagraph"/>
        <w:numPr>
          <w:ilvl w:val="0"/>
          <w:numId w:val="14"/>
        </w:numPr>
        <w:spacing w:before="0" w:after="0"/>
      </w:pPr>
      <w:r>
        <w:t>When a company or a company’s workers or representatives file a Trade Act petition requesting trade readjustment allowances or trade adjustment assistance.</w:t>
      </w:r>
    </w:p>
    <w:p w14:paraId="3B49F33A" w14:textId="1E9724B4" w:rsidR="00D15CA8" w:rsidRDefault="00D15CA8" w:rsidP="00D15CA8">
      <w:pPr>
        <w:pStyle w:val="ListParagraph"/>
        <w:numPr>
          <w:ilvl w:val="0"/>
          <w:numId w:val="14"/>
        </w:numPr>
        <w:spacing w:before="0" w:after="0"/>
      </w:pPr>
      <w:r>
        <w:t>When the employer asks us for help or an employee tells us a company is laying off or closing</w:t>
      </w:r>
    </w:p>
    <w:p w14:paraId="0A8CE591" w14:textId="5272C6D0" w:rsidR="00255A31" w:rsidRDefault="00255A31" w:rsidP="00255A31">
      <w:pPr>
        <w:pStyle w:val="ListParagraph"/>
        <w:numPr>
          <w:ilvl w:val="0"/>
          <w:numId w:val="18"/>
        </w:numPr>
        <w:spacing w:before="0" w:after="0"/>
        <w:ind w:right="0"/>
        <w:contextualSpacing/>
      </w:pPr>
      <w:r>
        <w:t xml:space="preserve"> </w:t>
      </w:r>
      <w:r w:rsidR="00D15CA8">
        <w:t>If we see a newspaper or media release announcing a layoff or closing</w:t>
      </w:r>
    </w:p>
    <w:p w14:paraId="1841F1AE" w14:textId="62DA46AF" w:rsidR="00D15CA8" w:rsidRDefault="00D15CA8" w:rsidP="00255A31">
      <w:pPr>
        <w:pStyle w:val="ListParagraph"/>
        <w:numPr>
          <w:ilvl w:val="0"/>
          <w:numId w:val="18"/>
        </w:numPr>
        <w:spacing w:before="0" w:after="0"/>
        <w:ind w:right="0"/>
        <w:contextualSpacing/>
      </w:pPr>
      <w:r>
        <w:t xml:space="preserve">If a natural disaster </w:t>
      </w:r>
      <w:r w:rsidR="003228DA">
        <w:t>in our region results in an employer or employers laying off workers.</w:t>
      </w:r>
    </w:p>
    <w:p w14:paraId="6AD6986A" w14:textId="2132B352" w:rsidR="003228DA" w:rsidRPr="00BB6B20" w:rsidRDefault="003228DA" w:rsidP="00255A31">
      <w:pPr>
        <w:pStyle w:val="ListParagraph"/>
        <w:numPr>
          <w:ilvl w:val="0"/>
          <w:numId w:val="18"/>
        </w:numPr>
        <w:spacing w:before="0" w:after="0"/>
        <w:ind w:right="0"/>
        <w:contextualSpacing/>
      </w:pPr>
      <w:r>
        <w:t>If an employer or employer association or economic development organization contacts Workforce Solutions seeking advice and assistance on averting a layoff.</w:t>
      </w:r>
    </w:p>
    <w:p w14:paraId="134113FF" w14:textId="77777777" w:rsidR="0057782F" w:rsidRDefault="0057782F" w:rsidP="0057782F"/>
    <w:p w14:paraId="249FBECC" w14:textId="77777777" w:rsidR="003228DA" w:rsidRDefault="003228DA" w:rsidP="003228DA">
      <w:r w:rsidRPr="003228DA">
        <w:rPr>
          <w:u w:val="single"/>
        </w:rPr>
        <w:t>At a minimum</w:t>
      </w:r>
      <w:r>
        <w:t>, our service includes:</w:t>
      </w:r>
    </w:p>
    <w:p w14:paraId="42A8E1E6" w14:textId="7DDC4882" w:rsidR="0057782F" w:rsidRDefault="003228DA" w:rsidP="003228DA">
      <w:pPr>
        <w:pStyle w:val="ListParagraph"/>
        <w:numPr>
          <w:ilvl w:val="0"/>
          <w:numId w:val="28"/>
        </w:numPr>
        <w:spacing w:before="0" w:after="0"/>
      </w:pPr>
      <w:r>
        <w:t>Consultation with the employer to assess the employer’s wants and needs, including strategies to avert or reduce the impact of a layoff</w:t>
      </w:r>
    </w:p>
    <w:p w14:paraId="63EEFA3C" w14:textId="2189F595" w:rsidR="0057782F" w:rsidRDefault="003228DA" w:rsidP="003228DA">
      <w:pPr>
        <w:pStyle w:val="ListParagraph"/>
        <w:numPr>
          <w:ilvl w:val="0"/>
          <w:numId w:val="15"/>
        </w:numPr>
        <w:spacing w:before="0" w:after="0"/>
      </w:pPr>
      <w:r>
        <w:lastRenderedPageBreak/>
        <w:t>Information sessions and practical job search seminars for workers at an employer’s site, community location, or career office</w:t>
      </w:r>
    </w:p>
    <w:p w14:paraId="6202CD26" w14:textId="0A8008A7" w:rsidR="0057782F" w:rsidRDefault="003228DA" w:rsidP="003228DA">
      <w:pPr>
        <w:pStyle w:val="ListParagraph"/>
        <w:numPr>
          <w:ilvl w:val="0"/>
          <w:numId w:val="15"/>
        </w:numPr>
        <w:spacing w:before="0" w:after="0"/>
      </w:pPr>
      <w:r>
        <w:t>Job search and career counseling and planning for workers, including relevant labor market and career information</w:t>
      </w:r>
    </w:p>
    <w:p w14:paraId="71D89542" w14:textId="41DA6086" w:rsidR="003228DA" w:rsidRDefault="003228DA" w:rsidP="003228DA">
      <w:pPr>
        <w:pStyle w:val="ListParagraph"/>
        <w:numPr>
          <w:ilvl w:val="0"/>
          <w:numId w:val="15"/>
        </w:numPr>
        <w:spacing w:before="0" w:after="0"/>
      </w:pPr>
      <w:r>
        <w:t>Immediate matching to suitable open jobs for workers, including promoting workers to employers who are hiring for similar skills or job duties</w:t>
      </w:r>
    </w:p>
    <w:p w14:paraId="1D25BC09" w14:textId="704219D0" w:rsidR="003228DA" w:rsidRDefault="003228DA" w:rsidP="003228DA">
      <w:pPr>
        <w:pStyle w:val="ListParagraph"/>
        <w:numPr>
          <w:ilvl w:val="0"/>
          <w:numId w:val="15"/>
        </w:numPr>
        <w:spacing w:before="0" w:after="0"/>
      </w:pPr>
      <w:r>
        <w:t>Scholarships for upskilling, career changes, or education as a part of career plans to ease workers’ transitions to new jobs</w:t>
      </w:r>
    </w:p>
    <w:p w14:paraId="20852697" w14:textId="3B37C2CC" w:rsidR="0057782F" w:rsidRDefault="003228DA" w:rsidP="003228DA">
      <w:pPr>
        <w:pStyle w:val="ListParagraph"/>
        <w:numPr>
          <w:ilvl w:val="0"/>
          <w:numId w:val="15"/>
        </w:numPr>
        <w:spacing w:before="0" w:after="0"/>
      </w:pPr>
      <w:r>
        <w:t>Financial aid and information about other community resources and support for workers</w:t>
      </w:r>
    </w:p>
    <w:p w14:paraId="6D92B474" w14:textId="77777777" w:rsidR="00463A9D" w:rsidRDefault="003228DA" w:rsidP="00463A9D">
      <w:pPr>
        <w:pStyle w:val="ListParagraph"/>
        <w:numPr>
          <w:ilvl w:val="0"/>
          <w:numId w:val="15"/>
        </w:numPr>
        <w:spacing w:before="0" w:after="0"/>
      </w:pPr>
      <w:r>
        <w:t xml:space="preserve">Access to the full range of service available through </w:t>
      </w:r>
      <w:r w:rsidR="00463A9D">
        <w:t>Workforce Solutions and our career offices</w:t>
      </w:r>
    </w:p>
    <w:p w14:paraId="7372914F" w14:textId="77777777" w:rsidR="00463A9D" w:rsidRDefault="00463A9D" w:rsidP="00463A9D">
      <w:pPr>
        <w:ind w:left="360"/>
      </w:pPr>
    </w:p>
    <w:p w14:paraId="525D8A9C" w14:textId="0F31F2FC" w:rsidR="0057782F" w:rsidRDefault="00463A9D" w:rsidP="00463A9D">
      <w:r>
        <w:t>Workforce Solutions can and will conduct outplacement activities and events at an employer’s site, in a community location convenient to workers, and in our career offices.</w:t>
      </w:r>
      <w:r>
        <w:br/>
      </w:r>
    </w:p>
    <w:p w14:paraId="0A4364C6" w14:textId="77777777" w:rsidR="00463A9D" w:rsidRDefault="00463A9D" w:rsidP="00463A9D"/>
    <w:p w14:paraId="3D59DEEE" w14:textId="32B109F7" w:rsidR="00A75A26" w:rsidRPr="005909A2" w:rsidRDefault="008A3955" w:rsidP="008A3955">
      <w:pPr>
        <w:pStyle w:val="Heading1"/>
        <w:rPr>
          <w:b/>
        </w:rPr>
      </w:pPr>
      <w:bookmarkStart w:id="3" w:name="_Toc972727"/>
      <w:r>
        <w:t>Process</w:t>
      </w:r>
      <w:bookmarkEnd w:id="3"/>
      <w:r w:rsidR="00A75A26" w:rsidRPr="005909A2">
        <w:t xml:space="preserve"> </w:t>
      </w:r>
    </w:p>
    <w:p w14:paraId="7D043308" w14:textId="47590B8D" w:rsidR="00D62A79" w:rsidRDefault="00463A9D" w:rsidP="00A36F18">
      <w:r>
        <w:t xml:space="preserve">Workforce Solutions can begin outplacement before we receive or are aware of a WARN.  (See II.  Overview above).   </w:t>
      </w:r>
    </w:p>
    <w:p w14:paraId="661A6C25" w14:textId="2FDB7393" w:rsidR="009E5B57" w:rsidRDefault="005168A1" w:rsidP="00475E27">
      <w:pPr>
        <w:pStyle w:val="Heading2"/>
      </w:pPr>
      <w:bookmarkStart w:id="4" w:name="_Toc972728"/>
      <w:r w:rsidRPr="00475E27">
        <w:t>First Action</w:t>
      </w:r>
      <w:r w:rsidR="00B6741F">
        <w:t xml:space="preserve">: </w:t>
      </w:r>
      <w:r w:rsidR="004F10A2">
        <w:t>Int</w:t>
      </w:r>
      <w:r w:rsidR="00034C35">
        <w:t>r</w:t>
      </w:r>
      <w:r w:rsidR="004F10A2">
        <w:t>oduction</w:t>
      </w:r>
      <w:bookmarkEnd w:id="4"/>
    </w:p>
    <w:p w14:paraId="35D0DC00" w14:textId="051F6C51" w:rsidR="004A3BA6" w:rsidRDefault="00463A9D" w:rsidP="002A2692">
      <w:pPr>
        <w:pStyle w:val="AfterHeading2"/>
        <w:numPr>
          <w:ilvl w:val="2"/>
          <w:numId w:val="29"/>
        </w:numPr>
        <w:ind w:hanging="720"/>
      </w:pPr>
      <w:r w:rsidRPr="004A3BA6">
        <w:rPr>
          <w:u w:val="single"/>
        </w:rPr>
        <w:t>When the Board Account Executive receives notice of a layoff, downsizing or closing</w:t>
      </w:r>
      <w:r>
        <w:t xml:space="preserve">.  The Account Executive will contact the employer, introduce Workforce Solutions, </w:t>
      </w:r>
      <w:r w:rsidR="004A3BA6">
        <w:t xml:space="preserve">schedule an onsite meeting to market our service, and </w:t>
      </w:r>
      <w:r>
        <w:t>ask for information to complete the Workforce Solutions Layoff Notification/Action form</w:t>
      </w:r>
      <w:r w:rsidR="004A3BA6">
        <w:t xml:space="preserve">.  </w:t>
      </w:r>
      <w:bookmarkStart w:id="5" w:name="_Toc972729"/>
      <w:r w:rsidR="00D46E17">
        <w:br/>
      </w:r>
    </w:p>
    <w:p w14:paraId="6DE6E13E" w14:textId="1ECAF9EA" w:rsidR="004A3BA6" w:rsidRDefault="004A3BA6" w:rsidP="002A2692">
      <w:pPr>
        <w:pStyle w:val="AfterHeading2"/>
        <w:numPr>
          <w:ilvl w:val="2"/>
          <w:numId w:val="29"/>
        </w:numPr>
        <w:ind w:hanging="720"/>
      </w:pPr>
      <w:r w:rsidRPr="004A3BA6">
        <w:rPr>
          <w:u w:val="single"/>
        </w:rPr>
        <w:t xml:space="preserve">When </w:t>
      </w:r>
      <w:proofErr w:type="spellStart"/>
      <w:proofErr w:type="gramStart"/>
      <w:r w:rsidRPr="004A3BA6">
        <w:rPr>
          <w:u w:val="single"/>
        </w:rPr>
        <w:t>a</w:t>
      </w:r>
      <w:proofErr w:type="spellEnd"/>
      <w:proofErr w:type="gramEnd"/>
      <w:r w:rsidRPr="004A3BA6">
        <w:rPr>
          <w:u w:val="single"/>
        </w:rPr>
        <w:t xml:space="preserve"> Employer Service staff member becomes aware of a layoff, downsizing or closing</w:t>
      </w:r>
      <w:r>
        <w:t xml:space="preserve">.  The staff member will market Workforce Solutions </w:t>
      </w:r>
      <w:r w:rsidR="00671BC2">
        <w:t>outplacement</w:t>
      </w:r>
      <w:r>
        <w:t xml:space="preserve"> to the employer, schedule an onsite meeting to further develop service options, ask for information to complete the Workforce Solutions Layoff Notification/Action form, and notify the Board Account Executive.</w:t>
      </w:r>
      <w:r w:rsidR="00D46E17">
        <w:br/>
      </w:r>
    </w:p>
    <w:p w14:paraId="494D1BA4" w14:textId="64900BBE" w:rsidR="004A3BA6" w:rsidRDefault="004A3BA6" w:rsidP="002A2692">
      <w:pPr>
        <w:pStyle w:val="AfterHeading2"/>
        <w:numPr>
          <w:ilvl w:val="2"/>
          <w:numId w:val="29"/>
        </w:numPr>
        <w:ind w:hanging="720"/>
      </w:pPr>
      <w:r>
        <w:rPr>
          <w:u w:val="single"/>
        </w:rPr>
        <w:t xml:space="preserve">When a career office, financial aid payment office, financial aid support center, adult education provider, youth project, vocational rehabilitation service, or Board staff member becomes aware of a layoff, downsizing or </w:t>
      </w:r>
      <w:r>
        <w:rPr>
          <w:u w:val="single"/>
        </w:rPr>
        <w:lastRenderedPageBreak/>
        <w:t>closing</w:t>
      </w:r>
      <w:r w:rsidRPr="004A3BA6">
        <w:t>.</w:t>
      </w:r>
      <w:r>
        <w:t xml:space="preserve">  The staff member will contact the Board Account Executive or another Employer Service representative</w:t>
      </w:r>
      <w:r w:rsidR="00D46E17">
        <w:t xml:space="preserve"> with the notice.</w:t>
      </w:r>
    </w:p>
    <w:p w14:paraId="4F42D241" w14:textId="77777777" w:rsidR="004A3BA6" w:rsidRDefault="004A3BA6" w:rsidP="00D46E17">
      <w:pPr>
        <w:pStyle w:val="AfterHeading2"/>
      </w:pPr>
    </w:p>
    <w:p w14:paraId="4EDFDCD5" w14:textId="190AD2B9" w:rsidR="005168A1" w:rsidRDefault="005168A1" w:rsidP="00D46E17">
      <w:pPr>
        <w:pStyle w:val="Heading2"/>
      </w:pPr>
      <w:r>
        <w:t>Second Action</w:t>
      </w:r>
      <w:r w:rsidR="007C17D2">
        <w:t xml:space="preserve">: </w:t>
      </w:r>
      <w:r w:rsidR="0098553B">
        <w:t>Onsite Management Meeting</w:t>
      </w:r>
      <w:bookmarkEnd w:id="5"/>
    </w:p>
    <w:p w14:paraId="3BDF53C9" w14:textId="1E1D3168" w:rsidR="00C34238" w:rsidRDefault="00294401" w:rsidP="004C2309">
      <w:pPr>
        <w:pStyle w:val="AfterHeading2"/>
      </w:pPr>
      <w:r>
        <w:t xml:space="preserve">During the onsite meeting, the </w:t>
      </w:r>
      <w:r w:rsidR="00D46E17">
        <w:t>Board Account Executive or Employer Service staff representative</w:t>
      </w:r>
      <w:r w:rsidR="00B77726">
        <w:t xml:space="preserve"> will</w:t>
      </w:r>
      <w:r w:rsidR="00C34238">
        <w:t>:</w:t>
      </w:r>
      <w:r w:rsidR="002C5E9F">
        <w:br/>
      </w:r>
    </w:p>
    <w:p w14:paraId="6F743456" w14:textId="3179C667" w:rsidR="00166750" w:rsidRDefault="00166750" w:rsidP="00D46E17">
      <w:pPr>
        <w:pStyle w:val="ListParagraph"/>
        <w:numPr>
          <w:ilvl w:val="2"/>
          <w:numId w:val="31"/>
        </w:numPr>
        <w:spacing w:before="0" w:after="0"/>
        <w:ind w:left="1080" w:right="0" w:hanging="360"/>
        <w:contextualSpacing/>
      </w:pPr>
      <w:r>
        <w:t>meet with</w:t>
      </w:r>
      <w:r w:rsidR="004A5AFB">
        <w:t xml:space="preserve"> employer representatives</w:t>
      </w:r>
      <w:r w:rsidR="00D46E17">
        <w:t xml:space="preserve"> and representatives of the affected workers if possible (including union representatives)</w:t>
      </w:r>
      <w:r w:rsidR="004A5AFB">
        <w:t>.</w:t>
      </w:r>
      <w:r w:rsidR="00D46E17">
        <w:br/>
      </w:r>
    </w:p>
    <w:p w14:paraId="44F3EEAD" w14:textId="26C49A5E" w:rsidR="002B5049" w:rsidRPr="00BB6B20" w:rsidRDefault="00F513A7" w:rsidP="00D46E17">
      <w:pPr>
        <w:pStyle w:val="ListParagraph"/>
        <w:numPr>
          <w:ilvl w:val="2"/>
          <w:numId w:val="31"/>
        </w:numPr>
        <w:spacing w:before="0" w:after="0"/>
        <w:ind w:left="1080" w:right="0" w:hanging="360"/>
        <w:contextualSpacing/>
      </w:pPr>
      <w:r>
        <w:t>a</w:t>
      </w:r>
      <w:r w:rsidR="002B5049">
        <w:t>sk the r</w:t>
      </w:r>
      <w:r w:rsidR="002B5049" w:rsidRPr="00BB6B20">
        <w:t>eason for the layoff</w:t>
      </w:r>
      <w:r w:rsidR="00D46E17">
        <w:t>:</w:t>
      </w:r>
    </w:p>
    <w:p w14:paraId="5D1848F9" w14:textId="209A0BD9" w:rsidR="002B5049" w:rsidRPr="00BB6B20" w:rsidRDefault="00F513A7" w:rsidP="00D46E17">
      <w:pPr>
        <w:pStyle w:val="ListParagraph"/>
        <w:numPr>
          <w:ilvl w:val="3"/>
          <w:numId w:val="31"/>
        </w:numPr>
        <w:spacing w:before="0" w:after="0"/>
        <w:ind w:left="1440" w:right="0" w:hanging="360"/>
        <w:contextualSpacing/>
      </w:pPr>
      <w:r>
        <w:t>i</w:t>
      </w:r>
      <w:r w:rsidR="002B5049" w:rsidRPr="00BB6B20">
        <w:t>dentify if it involves TAA</w:t>
      </w:r>
    </w:p>
    <w:p w14:paraId="07B46867" w14:textId="3CE41576" w:rsidR="002B5049" w:rsidRDefault="00F513A7" w:rsidP="00D46E17">
      <w:pPr>
        <w:pStyle w:val="ListParagraph"/>
        <w:numPr>
          <w:ilvl w:val="3"/>
          <w:numId w:val="31"/>
        </w:numPr>
        <w:spacing w:before="0" w:after="0"/>
        <w:ind w:left="1440" w:right="0" w:hanging="360"/>
        <w:contextualSpacing/>
      </w:pPr>
      <w:r>
        <w:t>i</w:t>
      </w:r>
      <w:r w:rsidR="002B5049" w:rsidRPr="00BB6B20">
        <w:t>dentify if layoff intervention is possible</w:t>
      </w:r>
    </w:p>
    <w:p w14:paraId="0E92A2E7" w14:textId="27BD1A7D" w:rsidR="002B5049" w:rsidRDefault="002B5049" w:rsidP="00D46E17">
      <w:pPr>
        <w:pStyle w:val="AfterHeading2"/>
        <w:numPr>
          <w:ilvl w:val="3"/>
          <w:numId w:val="31"/>
        </w:numPr>
        <w:ind w:left="1440" w:hanging="360"/>
      </w:pPr>
      <w:r>
        <w:t>suggest alternative plans to closure and job loss such as on the job training, shared work and any current initiatives available</w:t>
      </w:r>
      <w:r w:rsidR="00D46E17">
        <w:br/>
      </w:r>
    </w:p>
    <w:p w14:paraId="0D26E9A0" w14:textId="77777777" w:rsidR="00D46E17" w:rsidRDefault="00D46E17" w:rsidP="00D46E17">
      <w:pPr>
        <w:pStyle w:val="AfterHeading2"/>
        <w:numPr>
          <w:ilvl w:val="2"/>
          <w:numId w:val="31"/>
        </w:numPr>
        <w:ind w:left="1080" w:hanging="360"/>
      </w:pPr>
      <w:r>
        <w:t>discuss other services that may help the employer, including other businesses that may be willing to hire their transitioning employees</w:t>
      </w:r>
    </w:p>
    <w:p w14:paraId="61EF6D4D" w14:textId="77777777" w:rsidR="00D46E17" w:rsidRDefault="00D46E17" w:rsidP="00D46E17">
      <w:pPr>
        <w:pStyle w:val="AfterHeading2"/>
        <w:ind w:left="810"/>
      </w:pPr>
    </w:p>
    <w:p w14:paraId="3EF30BF6" w14:textId="1CADE250" w:rsidR="004C2309" w:rsidRDefault="00B96FAF" w:rsidP="00D46E17">
      <w:pPr>
        <w:pStyle w:val="AfterHeading2"/>
        <w:numPr>
          <w:ilvl w:val="2"/>
          <w:numId w:val="31"/>
        </w:numPr>
        <w:ind w:left="1080" w:hanging="360"/>
      </w:pPr>
      <w:r>
        <w:t>d</w:t>
      </w:r>
      <w:r w:rsidR="00B77726">
        <w:t>iscuss</w:t>
      </w:r>
      <w:r w:rsidR="00D46E17">
        <w:t xml:space="preserve"> the full range of</w:t>
      </w:r>
      <w:r w:rsidR="00B77726">
        <w:t xml:space="preserve"> Workforce Solutions service</w:t>
      </w:r>
      <w:r w:rsidR="00D46E17">
        <w:t xml:space="preserve"> for workers</w:t>
      </w:r>
      <w:r w:rsidR="00C34238">
        <w:t xml:space="preserve"> includi</w:t>
      </w:r>
      <w:r>
        <w:t>ng</w:t>
      </w:r>
      <w:r w:rsidR="00D46E17">
        <w:t>:  immediate matching of workers to open jobs suitable to their skills; traditional outplacement job search seminars, career planning, and counseling; financial aid for education/training scholarships and other needs; access to the career office network</w:t>
      </w:r>
      <w:r w:rsidR="00D46E17">
        <w:br/>
      </w:r>
    </w:p>
    <w:p w14:paraId="49223692" w14:textId="165B62B1" w:rsidR="00B96FAF" w:rsidRDefault="009C0D06" w:rsidP="00D46E17">
      <w:pPr>
        <w:pStyle w:val="AfterHeading2"/>
        <w:numPr>
          <w:ilvl w:val="2"/>
          <w:numId w:val="31"/>
        </w:numPr>
        <w:ind w:left="1080" w:hanging="360"/>
      </w:pPr>
      <w:r>
        <w:t>set up a time to have the Talent Development Team come onsite to present to employees</w:t>
      </w:r>
    </w:p>
    <w:p w14:paraId="6EE2D4DE" w14:textId="0F0D3320" w:rsidR="00672E85" w:rsidRDefault="00672E85" w:rsidP="00672E85">
      <w:pPr>
        <w:pStyle w:val="AfterHeading2"/>
      </w:pPr>
    </w:p>
    <w:p w14:paraId="20F89207" w14:textId="77777777" w:rsidR="00D46E17" w:rsidRDefault="00D46E17" w:rsidP="00672E85">
      <w:pPr>
        <w:pStyle w:val="AfterHeading2"/>
      </w:pPr>
    </w:p>
    <w:p w14:paraId="086F0A73" w14:textId="13285928" w:rsidR="00672E85" w:rsidRDefault="00672E85" w:rsidP="002C5E9F">
      <w:pPr>
        <w:pStyle w:val="After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After the onsite meeting</w:t>
      </w:r>
      <w:r w:rsidR="00400CFE">
        <w:t xml:space="preserve">, the </w:t>
      </w:r>
      <w:r w:rsidR="002C5E9F">
        <w:t>Board Account Executive is responsible for sending a completed</w:t>
      </w:r>
      <w:r w:rsidR="00400CFE">
        <w:t xml:space="preserve"> Layoff Notification/Action form to </w:t>
      </w:r>
      <w:r w:rsidR="002C5E9F">
        <w:t xml:space="preserve">the Texas Workforce Commission </w:t>
      </w:r>
      <w:hyperlink r:id="rId13" w:history="1">
        <w:r w:rsidR="002C5E9F" w:rsidRPr="00F135F6">
          <w:rPr>
            <w:rStyle w:val="Hyperlink"/>
          </w:rPr>
          <w:t>layoff.notificationcentral@twc.state.tx.us</w:t>
        </w:r>
      </w:hyperlink>
      <w:r w:rsidR="00003004" w:rsidRPr="00003004">
        <w:t xml:space="preserve"> </w:t>
      </w:r>
      <w:r w:rsidR="009D2462">
        <w:t xml:space="preserve">which generates </w:t>
      </w:r>
      <w:r w:rsidR="00995B05">
        <w:t>a Rapid Response Control number for data entry in TWIST.</w:t>
      </w:r>
    </w:p>
    <w:p w14:paraId="2EEF1AF1" w14:textId="25E96A97" w:rsidR="00995B05" w:rsidRDefault="00995B05" w:rsidP="002C5E9F">
      <w:pPr>
        <w:pStyle w:val="After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AAF0EF" w14:textId="5F756DE0" w:rsidR="00995B05" w:rsidRPr="004C2309" w:rsidRDefault="00995B05" w:rsidP="002C5E9F">
      <w:pPr>
        <w:pStyle w:val="After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TWC</w:t>
      </w:r>
      <w:r w:rsidR="00AF3537">
        <w:t xml:space="preserve"> will then generate a letter to the company and send a copy to the </w:t>
      </w:r>
      <w:r w:rsidR="002C5E9F">
        <w:t>Account Executive.</w:t>
      </w:r>
    </w:p>
    <w:p w14:paraId="5A735621" w14:textId="77777777" w:rsidR="002C5E9F" w:rsidRDefault="002C5E9F">
      <w:pPr>
        <w:spacing w:after="200" w:line="276" w:lineRule="auto"/>
        <w:rPr>
          <w:snapToGrid w:val="0"/>
          <w:sz w:val="28"/>
          <w:szCs w:val="28"/>
        </w:rPr>
      </w:pPr>
      <w:bookmarkStart w:id="6" w:name="_Toc972730"/>
      <w:r>
        <w:br w:type="page"/>
      </w:r>
    </w:p>
    <w:p w14:paraId="5BB47F74" w14:textId="37051E97" w:rsidR="005168A1" w:rsidRDefault="00E91F7A" w:rsidP="00475E27">
      <w:pPr>
        <w:pStyle w:val="Heading2"/>
      </w:pPr>
      <w:r>
        <w:lastRenderedPageBreak/>
        <w:t>Third Action</w:t>
      </w:r>
      <w:r w:rsidR="004F10A2">
        <w:t xml:space="preserve">: </w:t>
      </w:r>
      <w:r w:rsidR="00AF142F">
        <w:t>Orientation</w:t>
      </w:r>
      <w:r w:rsidR="00086A2C">
        <w:t xml:space="preserve"> </w:t>
      </w:r>
      <w:r w:rsidR="00034C35">
        <w:t>Event Preparation and Presentation</w:t>
      </w:r>
      <w:bookmarkEnd w:id="6"/>
    </w:p>
    <w:p w14:paraId="68D05C7C" w14:textId="73DE9E10" w:rsidR="00E91786" w:rsidRPr="00E91786" w:rsidRDefault="00B85E58" w:rsidP="00632146">
      <w:pPr>
        <w:pStyle w:val="Heading3"/>
      </w:pPr>
      <w:bookmarkStart w:id="7" w:name="_Toc972731"/>
      <w:r w:rsidRPr="00632146">
        <w:t>Preparation</w:t>
      </w:r>
      <w:bookmarkEnd w:id="7"/>
    </w:p>
    <w:p w14:paraId="07B56BB3" w14:textId="2134D472" w:rsidR="00034C35" w:rsidRDefault="003D6730" w:rsidP="00034C35">
      <w:pPr>
        <w:pStyle w:val="AfterHeading2"/>
      </w:pPr>
      <w:r>
        <w:t>Employer Service staff</w:t>
      </w:r>
      <w:r w:rsidR="00990F56">
        <w:t xml:space="preserve"> must send out </w:t>
      </w:r>
      <w:r w:rsidR="004D131B">
        <w:t>a</w:t>
      </w:r>
      <w:r w:rsidR="00942D99">
        <w:t>n</w:t>
      </w:r>
      <w:r w:rsidR="004D131B">
        <w:t xml:space="preserve"> </w:t>
      </w:r>
      <w:r w:rsidR="002C5E9F">
        <w:t>outplacement</w:t>
      </w:r>
      <w:r w:rsidR="00CF29F5">
        <w:t xml:space="preserve"> event </w:t>
      </w:r>
      <w:r w:rsidR="008438C3">
        <w:t xml:space="preserve">notice </w:t>
      </w:r>
      <w:r w:rsidR="00E24808">
        <w:t xml:space="preserve">and agenda </w:t>
      </w:r>
      <w:r w:rsidR="008438C3">
        <w:t xml:space="preserve">to the entire </w:t>
      </w:r>
      <w:r w:rsidR="002C5E9F">
        <w:t>outplacement</w:t>
      </w:r>
      <w:r w:rsidR="008438C3">
        <w:t xml:space="preserve"> team </w:t>
      </w:r>
      <w:r w:rsidR="006F49EA">
        <w:t>a minimum of five calendar days before an orientation meeting</w:t>
      </w:r>
      <w:r w:rsidR="00CF29F5">
        <w:t>.</w:t>
      </w:r>
      <w:r w:rsidR="00B16022">
        <w:t xml:space="preserve"> </w:t>
      </w:r>
      <w:r w:rsidR="002C5E9F">
        <w:br/>
      </w:r>
      <w:r w:rsidR="002C5E9F">
        <w:br/>
      </w:r>
      <w:r w:rsidR="00B16022">
        <w:t xml:space="preserve">The </w:t>
      </w:r>
      <w:r w:rsidR="002C5E9F">
        <w:t>team</w:t>
      </w:r>
      <w:r w:rsidR="00B16022">
        <w:t xml:space="preserve"> consists of </w:t>
      </w:r>
      <w:r w:rsidR="00411732">
        <w:t xml:space="preserve">the </w:t>
      </w:r>
      <w:r w:rsidR="002C5E9F">
        <w:t>Board Account Executive,</w:t>
      </w:r>
      <w:r w:rsidR="00411732">
        <w:t xml:space="preserve"> </w:t>
      </w:r>
      <w:r w:rsidR="00127419">
        <w:t>T</w:t>
      </w:r>
      <w:r w:rsidR="00B13BAD">
        <w:t xml:space="preserve">WC Regional Unemployment Field Specialist, </w:t>
      </w:r>
      <w:r w:rsidR="00052E8C">
        <w:t xml:space="preserve">Employer Service Strategic Projects Manager, </w:t>
      </w:r>
      <w:r w:rsidR="00235C5A">
        <w:t>and the Talent Development Team.</w:t>
      </w:r>
      <w:r w:rsidR="00F86332">
        <w:t xml:space="preserve"> </w:t>
      </w:r>
      <w:r w:rsidR="002C5E9F">
        <w:t xml:space="preserve">  The Board Account Executive or Strategic Projects Manager may add members to </w:t>
      </w:r>
      <w:r w:rsidR="00A826F7">
        <w:t>the</w:t>
      </w:r>
      <w:r w:rsidR="002C5E9F">
        <w:t xml:space="preserve"> team.</w:t>
      </w:r>
    </w:p>
    <w:p w14:paraId="27FCE1AC" w14:textId="2B6A4A25" w:rsidR="003771EF" w:rsidRDefault="003771EF" w:rsidP="00034C35">
      <w:pPr>
        <w:pStyle w:val="AfterHeading2"/>
      </w:pPr>
    </w:p>
    <w:p w14:paraId="64B6CFC3" w14:textId="17E84D88" w:rsidR="000F55F5" w:rsidRDefault="000F55F5" w:rsidP="00034C35">
      <w:pPr>
        <w:pStyle w:val="AfterHeading2"/>
      </w:pPr>
      <w:r>
        <w:t xml:space="preserve">The Talent Development </w:t>
      </w:r>
      <w:r w:rsidR="003D6730">
        <w:t xml:space="preserve">Team </w:t>
      </w:r>
      <w:r>
        <w:t xml:space="preserve">will reach out to the system for assistance with facilitating the </w:t>
      </w:r>
      <w:r w:rsidR="002C5E9F">
        <w:t>Trade Act</w:t>
      </w:r>
      <w:r>
        <w:t xml:space="preserve"> orientation portions of the information sessions. </w:t>
      </w:r>
    </w:p>
    <w:p w14:paraId="35B2D404" w14:textId="77777777" w:rsidR="000F55F5" w:rsidRDefault="000F55F5" w:rsidP="00034C35">
      <w:pPr>
        <w:pStyle w:val="AfterHeading2"/>
      </w:pPr>
    </w:p>
    <w:p w14:paraId="27AB2BEF" w14:textId="1C95B8AB" w:rsidR="003771EF" w:rsidRDefault="00EE4F26" w:rsidP="00034C35">
      <w:pPr>
        <w:pStyle w:val="AfterHeading2"/>
      </w:pPr>
      <w:r>
        <w:t xml:space="preserve">The Talent Development </w:t>
      </w:r>
      <w:r w:rsidR="003D6730">
        <w:t xml:space="preserve">Team </w:t>
      </w:r>
      <w:r>
        <w:t xml:space="preserve">must also </w:t>
      </w:r>
      <w:r w:rsidR="007B4110">
        <w:t xml:space="preserve">create </w:t>
      </w:r>
      <w:r w:rsidR="00226207">
        <w:t xml:space="preserve">complete </w:t>
      </w:r>
      <w:r w:rsidR="002C5E9F">
        <w:t>outplacement</w:t>
      </w:r>
      <w:r w:rsidR="00CB430A">
        <w:t xml:space="preserve"> packets by including </w:t>
      </w:r>
      <w:r w:rsidR="002C5E9F">
        <w:t xml:space="preserve">a description of Workforce Solutions including locations for career offices, </w:t>
      </w:r>
      <w:r w:rsidR="00CB430A">
        <w:t xml:space="preserve">the </w:t>
      </w:r>
      <w:r w:rsidR="002C5E9F">
        <w:t>U.S. Department of Labor</w:t>
      </w:r>
      <w:r w:rsidR="00CB430A">
        <w:t xml:space="preserve"> red book</w:t>
      </w:r>
      <w:r w:rsidR="004073E4">
        <w:t xml:space="preserve">let, </w:t>
      </w:r>
      <w:r w:rsidR="00020D4F" w:rsidRPr="00020D4F">
        <w:t>FINRA</w:t>
      </w:r>
      <w:r w:rsidR="004073E4">
        <w:t xml:space="preserve"> brochure, and TWC’s At a Glance Benefits brochure</w:t>
      </w:r>
      <w:r w:rsidR="00F6460D">
        <w:t>.</w:t>
      </w:r>
    </w:p>
    <w:p w14:paraId="758949B8" w14:textId="2EDE011F" w:rsidR="00E91786" w:rsidRDefault="00E91786" w:rsidP="00034C35">
      <w:pPr>
        <w:pStyle w:val="AfterHeading2"/>
      </w:pPr>
    </w:p>
    <w:p w14:paraId="29ACB2AF" w14:textId="77777777" w:rsidR="00B85E58" w:rsidRPr="00E91786" w:rsidRDefault="00B85E58" w:rsidP="007B6D76">
      <w:pPr>
        <w:pStyle w:val="Heading3"/>
      </w:pPr>
      <w:r w:rsidRPr="00E91786">
        <w:t>Presentation</w:t>
      </w:r>
    </w:p>
    <w:p w14:paraId="15DDBDAF" w14:textId="64044647" w:rsidR="00E91786" w:rsidRDefault="008F718C" w:rsidP="00034C35">
      <w:pPr>
        <w:pStyle w:val="AfterHeading2"/>
      </w:pPr>
      <w:r>
        <w:t xml:space="preserve">The </w:t>
      </w:r>
      <w:bookmarkStart w:id="8" w:name="_Hlk8913578"/>
      <w:r w:rsidR="00671BC2">
        <w:t>outplacement</w:t>
      </w:r>
      <w:r w:rsidR="00A875AD">
        <w:t xml:space="preserve"> </w:t>
      </w:r>
      <w:bookmarkEnd w:id="8"/>
      <w:r>
        <w:t>orientation should last between 60 and 90 minutes depending on the arrangements made with the employer.</w:t>
      </w:r>
    </w:p>
    <w:p w14:paraId="1BA3ECA6" w14:textId="7ABA4AFB" w:rsidR="008F718C" w:rsidRDefault="008F718C" w:rsidP="00034C35">
      <w:pPr>
        <w:pStyle w:val="AfterHeading2"/>
      </w:pPr>
    </w:p>
    <w:p w14:paraId="57DB859B" w14:textId="0D96E6A4" w:rsidR="008F718C" w:rsidRDefault="008F718C" w:rsidP="00034C35">
      <w:pPr>
        <w:pStyle w:val="AfterHeading2"/>
      </w:pPr>
      <w:r>
        <w:t>The orientation presentation consists of the following components:</w:t>
      </w:r>
    </w:p>
    <w:p w14:paraId="4057C127" w14:textId="77777777" w:rsidR="00852E89" w:rsidRDefault="00852E89" w:rsidP="0061002D">
      <w:pPr>
        <w:pStyle w:val="AfterHeading2"/>
        <w:numPr>
          <w:ilvl w:val="0"/>
          <w:numId w:val="25"/>
        </w:numPr>
      </w:pPr>
      <w:r>
        <w:t>Signing In</w:t>
      </w:r>
    </w:p>
    <w:p w14:paraId="711AD341" w14:textId="23C70081" w:rsidR="008F718C" w:rsidRDefault="0061002D" w:rsidP="00852E89">
      <w:pPr>
        <w:pStyle w:val="AfterHeading2"/>
        <w:numPr>
          <w:ilvl w:val="1"/>
          <w:numId w:val="25"/>
        </w:numPr>
      </w:pPr>
      <w:r>
        <w:t xml:space="preserve">Employee sign in sheet provided by the </w:t>
      </w:r>
      <w:r w:rsidRPr="0061002D">
        <w:t xml:space="preserve">Talent Development </w:t>
      </w:r>
      <w:r w:rsidR="003D6730">
        <w:t xml:space="preserve">Team </w:t>
      </w:r>
      <w:r w:rsidR="00626800">
        <w:t>or a copy of a company sign in sheet as a record of attendance</w:t>
      </w:r>
    </w:p>
    <w:p w14:paraId="59A166F9" w14:textId="46E4B191" w:rsidR="00CF784E" w:rsidRDefault="002C5E9F" w:rsidP="00535494">
      <w:pPr>
        <w:pStyle w:val="AfterHeading2"/>
        <w:numPr>
          <w:ilvl w:val="0"/>
          <w:numId w:val="25"/>
        </w:numPr>
      </w:pPr>
      <w:r>
        <w:t>Workforce Solutions</w:t>
      </w:r>
      <w:r w:rsidR="00967095">
        <w:t xml:space="preserve"> PowerPoint</w:t>
      </w:r>
    </w:p>
    <w:p w14:paraId="2C7DCF59" w14:textId="20C36D73" w:rsidR="00535494" w:rsidRDefault="00CF784E" w:rsidP="00535494">
      <w:pPr>
        <w:pStyle w:val="AfterHeading2"/>
        <w:numPr>
          <w:ilvl w:val="0"/>
          <w:numId w:val="25"/>
        </w:numPr>
      </w:pPr>
      <w:r>
        <w:t>A</w:t>
      </w:r>
      <w:r w:rsidR="00535494">
        <w:t xml:space="preserve">ssisting employees with completing the </w:t>
      </w:r>
      <w:r w:rsidR="00671BC2">
        <w:t xml:space="preserve">TWIST </w:t>
      </w:r>
      <w:r w:rsidR="00535494">
        <w:t>registration form</w:t>
      </w:r>
    </w:p>
    <w:p w14:paraId="7C3B8DF7" w14:textId="77777777" w:rsidR="00C65027" w:rsidRDefault="00C65027" w:rsidP="00535494">
      <w:pPr>
        <w:pStyle w:val="AfterHeading2"/>
        <w:numPr>
          <w:ilvl w:val="0"/>
          <w:numId w:val="25"/>
        </w:numPr>
      </w:pPr>
      <w:r>
        <w:t>UI Information</w:t>
      </w:r>
    </w:p>
    <w:p w14:paraId="319F7C9A" w14:textId="722AE849" w:rsidR="00C65027" w:rsidRDefault="00535494" w:rsidP="00C65027">
      <w:pPr>
        <w:pStyle w:val="AfterHeading2"/>
        <w:numPr>
          <w:ilvl w:val="1"/>
          <w:numId w:val="25"/>
        </w:numPr>
      </w:pPr>
      <w:r>
        <w:t>Power</w:t>
      </w:r>
      <w:r w:rsidR="00967095">
        <w:t>P</w:t>
      </w:r>
      <w:r>
        <w:t xml:space="preserve">oint on unemployment insurance and Q&amp;A’s is presented by </w:t>
      </w:r>
      <w:r w:rsidR="00C65027" w:rsidRPr="00C65027">
        <w:t xml:space="preserve">TWC Regional Unemployment Field Specialist </w:t>
      </w:r>
      <w:r>
        <w:t xml:space="preserve">only. </w:t>
      </w:r>
    </w:p>
    <w:p w14:paraId="71886651" w14:textId="731E253D" w:rsidR="00535494" w:rsidRDefault="00535494" w:rsidP="00C65027">
      <w:pPr>
        <w:pStyle w:val="AfterHeading2"/>
        <w:numPr>
          <w:ilvl w:val="1"/>
          <w:numId w:val="25"/>
        </w:numPr>
      </w:pPr>
      <w:r>
        <w:t xml:space="preserve">If not available, the TWC UI phone number is given to customers to address their questions. </w:t>
      </w:r>
    </w:p>
    <w:p w14:paraId="18CA1B3A" w14:textId="55F30333" w:rsidR="00535494" w:rsidRDefault="00535494" w:rsidP="00535494">
      <w:pPr>
        <w:pStyle w:val="AfterHeading2"/>
        <w:numPr>
          <w:ilvl w:val="0"/>
          <w:numId w:val="25"/>
        </w:numPr>
      </w:pPr>
      <w:r>
        <w:t>Collect</w:t>
      </w:r>
      <w:r w:rsidR="000B39D1">
        <w:t>ing</w:t>
      </w:r>
      <w:r w:rsidR="00671BC2">
        <w:t xml:space="preserve"> TWIST</w:t>
      </w:r>
      <w:r>
        <w:t xml:space="preserve"> registration forms and check</w:t>
      </w:r>
      <w:r w:rsidR="000B39D1">
        <w:t>ing</w:t>
      </w:r>
      <w:r>
        <w:t xml:space="preserve"> </w:t>
      </w:r>
      <w:r w:rsidR="000B39D1">
        <w:t xml:space="preserve">them </w:t>
      </w:r>
      <w:r>
        <w:t>for errors or omissions</w:t>
      </w:r>
    </w:p>
    <w:p w14:paraId="6CD74943" w14:textId="77777777" w:rsidR="00B555DD" w:rsidRDefault="00B555DD" w:rsidP="00B555DD">
      <w:pPr>
        <w:pStyle w:val="AfterHeading2"/>
      </w:pPr>
    </w:p>
    <w:p w14:paraId="1C8345D5" w14:textId="5A835DA8" w:rsidR="00535494" w:rsidRDefault="00B555DD" w:rsidP="00B555DD">
      <w:pPr>
        <w:pStyle w:val="AfterHeading2"/>
      </w:pPr>
      <w:r>
        <w:t xml:space="preserve">Following the orientation, the </w:t>
      </w:r>
      <w:r w:rsidR="00671BC2">
        <w:t>Outplacement</w:t>
      </w:r>
      <w:r w:rsidR="003D6730">
        <w:t xml:space="preserve">s </w:t>
      </w:r>
      <w:r w:rsidR="00535494">
        <w:t xml:space="preserve">Coordinator and Talent Development </w:t>
      </w:r>
      <w:r w:rsidR="003D6730">
        <w:t xml:space="preserve">Team </w:t>
      </w:r>
      <w:r w:rsidR="006C6039">
        <w:t>will</w:t>
      </w:r>
      <w:r w:rsidR="00535494">
        <w:t xml:space="preserve"> have a follow up conference with the team to discuss:</w:t>
      </w:r>
    </w:p>
    <w:p w14:paraId="731AB3F9" w14:textId="0E0435A0" w:rsidR="00535494" w:rsidRDefault="00132ED8" w:rsidP="00535494">
      <w:pPr>
        <w:pStyle w:val="AfterHeading2"/>
        <w:numPr>
          <w:ilvl w:val="0"/>
          <w:numId w:val="25"/>
        </w:numPr>
      </w:pPr>
      <w:r>
        <w:t>Dispersing</w:t>
      </w:r>
      <w:r w:rsidR="00535494">
        <w:t xml:space="preserve"> </w:t>
      </w:r>
      <w:r w:rsidR="00671BC2">
        <w:t xml:space="preserve">TWIST </w:t>
      </w:r>
      <w:r w:rsidR="00535494">
        <w:t>registration forms for TWIST data entry</w:t>
      </w:r>
    </w:p>
    <w:p w14:paraId="62774F1E" w14:textId="77777777" w:rsidR="00535494" w:rsidRDefault="00535494" w:rsidP="00535494">
      <w:pPr>
        <w:pStyle w:val="AfterHeading2"/>
        <w:numPr>
          <w:ilvl w:val="0"/>
          <w:numId w:val="25"/>
        </w:numPr>
      </w:pPr>
      <w:r>
        <w:t>Engaging companies that can hire the employees</w:t>
      </w:r>
    </w:p>
    <w:p w14:paraId="3D3871FA" w14:textId="77777777" w:rsidR="00783939" w:rsidRDefault="00535494" w:rsidP="00535494">
      <w:pPr>
        <w:pStyle w:val="AfterHeading2"/>
        <w:numPr>
          <w:ilvl w:val="0"/>
          <w:numId w:val="25"/>
        </w:numPr>
      </w:pPr>
      <w:r>
        <w:lastRenderedPageBreak/>
        <w:t>Plan</w:t>
      </w:r>
      <w:r w:rsidR="00132ED8">
        <w:t>ning</w:t>
      </w:r>
      <w:r>
        <w:t xml:space="preserve"> a job fair or hiring event </w:t>
      </w:r>
    </w:p>
    <w:p w14:paraId="16230EE3" w14:textId="0C0FC2B8" w:rsidR="00535494" w:rsidRDefault="00783939" w:rsidP="00535494">
      <w:pPr>
        <w:pStyle w:val="AfterHeading2"/>
        <w:numPr>
          <w:ilvl w:val="0"/>
          <w:numId w:val="25"/>
        </w:numPr>
      </w:pPr>
      <w:r>
        <w:t>F</w:t>
      </w:r>
      <w:r w:rsidR="00535494">
        <w:t>ollow</w:t>
      </w:r>
      <w:r>
        <w:t>ing</w:t>
      </w:r>
      <w:r w:rsidR="00535494">
        <w:t xml:space="preserve"> up with </w:t>
      </w:r>
      <w:r w:rsidR="001A4A6B">
        <w:t xml:space="preserve">the </w:t>
      </w:r>
      <w:r w:rsidR="00535494">
        <w:t xml:space="preserve">company </w:t>
      </w:r>
      <w:r w:rsidR="001A4A6B">
        <w:t>about the</w:t>
      </w:r>
      <w:r w:rsidR="00535494">
        <w:t xml:space="preserve"> services </w:t>
      </w:r>
      <w:r w:rsidR="001A4A6B">
        <w:t xml:space="preserve">they </w:t>
      </w:r>
      <w:r w:rsidR="00535494">
        <w:t>received</w:t>
      </w:r>
    </w:p>
    <w:p w14:paraId="22970D23" w14:textId="58776DA8" w:rsidR="00626800" w:rsidRPr="00034C35" w:rsidRDefault="00535494" w:rsidP="00535494">
      <w:pPr>
        <w:pStyle w:val="AfterHeading2"/>
        <w:numPr>
          <w:ilvl w:val="0"/>
          <w:numId w:val="25"/>
        </w:numPr>
      </w:pPr>
      <w:r>
        <w:t>Recruit</w:t>
      </w:r>
      <w:r w:rsidR="00AE233E">
        <w:t>ing</w:t>
      </w:r>
      <w:r>
        <w:t xml:space="preserve"> for the company, follow</w:t>
      </w:r>
      <w:r w:rsidR="00AE233E">
        <w:t>ing</w:t>
      </w:r>
      <w:r>
        <w:t xml:space="preserve"> up on hires and report</w:t>
      </w:r>
      <w:r w:rsidR="00AE233E">
        <w:t>ing appropriate information</w:t>
      </w:r>
      <w:r>
        <w:t xml:space="preserve"> in WIT</w:t>
      </w:r>
    </w:p>
    <w:p w14:paraId="7D741A38" w14:textId="77777777" w:rsidR="0053239C" w:rsidRPr="0053239C" w:rsidRDefault="0053239C" w:rsidP="0053239C">
      <w:pPr>
        <w:pStyle w:val="AfterHeading2"/>
      </w:pPr>
    </w:p>
    <w:p w14:paraId="13B56789" w14:textId="28EFA8B2" w:rsidR="0034095A" w:rsidRDefault="0034095A" w:rsidP="0034095A">
      <w:pPr>
        <w:pStyle w:val="Heading2"/>
      </w:pPr>
      <w:bookmarkStart w:id="9" w:name="_Toc972732"/>
      <w:r>
        <w:t>Fourth Action</w:t>
      </w:r>
      <w:r w:rsidR="00244BB6">
        <w:t xml:space="preserve">: </w:t>
      </w:r>
      <w:r w:rsidR="00FD5A2A">
        <w:t>Administrative Duties</w:t>
      </w:r>
      <w:bookmarkEnd w:id="9"/>
    </w:p>
    <w:p w14:paraId="0D2786DD" w14:textId="0F950E52" w:rsidR="00FD5A2A" w:rsidRDefault="00020D4F" w:rsidP="00FD5A2A">
      <w:pPr>
        <w:pStyle w:val="AfterHeading2"/>
      </w:pPr>
      <w:r>
        <w:t>At the end of</w:t>
      </w:r>
      <w:r w:rsidR="002223BD">
        <w:t xml:space="preserve"> </w:t>
      </w:r>
      <w:r w:rsidR="004C670E">
        <w:t>all</w:t>
      </w:r>
      <w:r w:rsidR="002223BD">
        <w:t xml:space="preserve"> </w:t>
      </w:r>
      <w:r w:rsidR="00671BC2">
        <w:t>outplacement</w:t>
      </w:r>
      <w:r w:rsidR="00A875AD">
        <w:t xml:space="preserve"> </w:t>
      </w:r>
      <w:r w:rsidR="004C670E">
        <w:t>orientations</w:t>
      </w:r>
      <w:r w:rsidR="00E3100A">
        <w:t>, the following actions must be completed:</w:t>
      </w:r>
    </w:p>
    <w:p w14:paraId="7674E45E" w14:textId="7BBC0032" w:rsidR="00A75007" w:rsidRDefault="00E3100A" w:rsidP="00E3100A">
      <w:pPr>
        <w:pStyle w:val="AfterHeading2"/>
        <w:numPr>
          <w:ilvl w:val="0"/>
          <w:numId w:val="23"/>
        </w:numPr>
      </w:pPr>
      <w:r>
        <w:t>Talent Development Team</w:t>
      </w:r>
      <w:r w:rsidR="00F465F8">
        <w:t xml:space="preserve"> </w:t>
      </w:r>
      <w:r w:rsidR="00C053DF">
        <w:t xml:space="preserve">collects and secures the </w:t>
      </w:r>
      <w:r w:rsidR="00A75007">
        <w:t>c</w:t>
      </w:r>
      <w:r w:rsidR="00F465F8">
        <w:t xml:space="preserve">ompleted </w:t>
      </w:r>
      <w:r w:rsidR="00671BC2">
        <w:t>TWIST</w:t>
      </w:r>
      <w:r w:rsidR="00A875AD">
        <w:t xml:space="preserve"> </w:t>
      </w:r>
      <w:r w:rsidR="00F465F8">
        <w:t xml:space="preserve">registration forms </w:t>
      </w:r>
      <w:r w:rsidR="006214DC">
        <w:t>following PII requirements.</w:t>
      </w:r>
    </w:p>
    <w:p w14:paraId="355FDBB3" w14:textId="44DD6F8F" w:rsidR="00E3100A" w:rsidRDefault="006214DC" w:rsidP="00E3100A">
      <w:pPr>
        <w:pStyle w:val="AfterHeading2"/>
        <w:numPr>
          <w:ilvl w:val="0"/>
          <w:numId w:val="23"/>
        </w:numPr>
      </w:pPr>
      <w:r w:rsidRPr="006214DC">
        <w:t>Talent Development Team se</w:t>
      </w:r>
      <w:r>
        <w:t>nds</w:t>
      </w:r>
      <w:r w:rsidRPr="006214DC">
        <w:t xml:space="preserve"> the completed </w:t>
      </w:r>
      <w:r w:rsidR="00671BC2">
        <w:t xml:space="preserve">TWIST </w:t>
      </w:r>
      <w:r w:rsidR="00004817">
        <w:t xml:space="preserve">registration forms </w:t>
      </w:r>
      <w:r w:rsidR="00F465F8">
        <w:t>to appropriate offices using Docu</w:t>
      </w:r>
      <w:r w:rsidR="00020D4F">
        <w:t>W</w:t>
      </w:r>
      <w:r w:rsidR="00F465F8">
        <w:t>are.</w:t>
      </w:r>
    </w:p>
    <w:p w14:paraId="44458CED" w14:textId="63A95744" w:rsidR="00F465F8" w:rsidRDefault="00982EB4" w:rsidP="00E3100A">
      <w:pPr>
        <w:pStyle w:val="AfterHeading2"/>
        <w:numPr>
          <w:ilvl w:val="0"/>
          <w:numId w:val="23"/>
        </w:numPr>
      </w:pPr>
      <w:r>
        <w:t>TWIST data entry must be com</w:t>
      </w:r>
      <w:r w:rsidR="00C053DF">
        <w:t xml:space="preserve">pleted within 45 days of the </w:t>
      </w:r>
      <w:r w:rsidR="00671BC2">
        <w:t>outplacement</w:t>
      </w:r>
      <w:r w:rsidR="00A875AD">
        <w:t xml:space="preserve"> </w:t>
      </w:r>
      <w:r w:rsidR="00C053DF">
        <w:t>meeting.</w:t>
      </w:r>
    </w:p>
    <w:p w14:paraId="777842EA" w14:textId="5BAC01D8" w:rsidR="00004817" w:rsidRDefault="00004817" w:rsidP="00004817">
      <w:pPr>
        <w:pStyle w:val="AfterHeading2"/>
      </w:pPr>
    </w:p>
    <w:p w14:paraId="70CF989A" w14:textId="11A19852" w:rsidR="00004817" w:rsidRDefault="00004817" w:rsidP="00004817">
      <w:pPr>
        <w:pStyle w:val="AfterHeading2"/>
      </w:pPr>
      <w:r>
        <w:t xml:space="preserve">The </w:t>
      </w:r>
      <w:r w:rsidR="00671BC2">
        <w:t>Outplacement</w:t>
      </w:r>
      <w:r w:rsidR="003D6730">
        <w:t xml:space="preserve">s </w:t>
      </w:r>
      <w:r>
        <w:t>Coordinator must:</w:t>
      </w:r>
    </w:p>
    <w:p w14:paraId="598F96F0" w14:textId="3D0D7F9F" w:rsidR="00004817" w:rsidRDefault="0059019A" w:rsidP="00004817">
      <w:pPr>
        <w:pStyle w:val="AfterHeading2"/>
        <w:numPr>
          <w:ilvl w:val="0"/>
          <w:numId w:val="24"/>
        </w:numPr>
      </w:pPr>
      <w:r>
        <w:t>Update the layoff notices log</w:t>
      </w:r>
      <w:r w:rsidR="00C26386">
        <w:t xml:space="preserve"> that keeps a running total for the calendar year</w:t>
      </w:r>
      <w:r w:rsidR="00164CD0">
        <w:t>.</w:t>
      </w:r>
    </w:p>
    <w:p w14:paraId="49E5D04D" w14:textId="675B5A08" w:rsidR="00164CD0" w:rsidRDefault="00164CD0" w:rsidP="00004817">
      <w:pPr>
        <w:pStyle w:val="AfterHeading2"/>
        <w:numPr>
          <w:ilvl w:val="0"/>
          <w:numId w:val="24"/>
        </w:numPr>
      </w:pPr>
      <w:r>
        <w:t>Complete a quarterly update and reconciliation of the TRACCS report</w:t>
      </w:r>
      <w:r w:rsidR="00853F5F">
        <w:t xml:space="preserve"> received from TWC.</w:t>
      </w:r>
    </w:p>
    <w:p w14:paraId="3699C245" w14:textId="1BAD735B" w:rsidR="00853F5F" w:rsidRDefault="008B12C6" w:rsidP="00004817">
      <w:pPr>
        <w:pStyle w:val="AfterHeading2"/>
        <w:numPr>
          <w:ilvl w:val="0"/>
          <w:numId w:val="24"/>
        </w:numPr>
      </w:pPr>
      <w:r>
        <w:t>Adjust</w:t>
      </w:r>
      <w:r w:rsidR="00853F5F">
        <w:t xml:space="preserve"> layoff </w:t>
      </w:r>
      <w:r w:rsidR="00510934">
        <w:t xml:space="preserve">numbers in the layoff </w:t>
      </w:r>
      <w:r w:rsidR="00853F5F">
        <w:t xml:space="preserve">notices log as appropriate </w:t>
      </w:r>
      <w:r w:rsidR="007C7BDF">
        <w:t>based on data in the TRACCS report.</w:t>
      </w:r>
    </w:p>
    <w:p w14:paraId="682F288C" w14:textId="3B3D53C7" w:rsidR="00D14D4C" w:rsidRDefault="006C0A16" w:rsidP="00D14D4C">
      <w:pPr>
        <w:pStyle w:val="Heading2"/>
      </w:pPr>
      <w:bookmarkStart w:id="10" w:name="_Toc972733"/>
      <w:r>
        <w:t>T</w:t>
      </w:r>
      <w:r w:rsidR="00A76138">
        <w:t xml:space="preserve">rade </w:t>
      </w:r>
      <w:r>
        <w:t>A</w:t>
      </w:r>
      <w:r w:rsidR="00A76138">
        <w:t xml:space="preserve">djustment </w:t>
      </w:r>
      <w:r>
        <w:t>A</w:t>
      </w:r>
      <w:r w:rsidR="00A76138">
        <w:t>ssistance (TAA)</w:t>
      </w:r>
      <w:r>
        <w:t xml:space="preserve"> Activation</w:t>
      </w:r>
      <w:bookmarkEnd w:id="10"/>
    </w:p>
    <w:p w14:paraId="5CF63260" w14:textId="34B64AEB" w:rsidR="006C0A16" w:rsidRDefault="00A76138" w:rsidP="006C0A16">
      <w:pPr>
        <w:pStyle w:val="AfterHeading2"/>
      </w:pPr>
      <w:r>
        <w:t>TAA is activated</w:t>
      </w:r>
      <w:r w:rsidR="00A91AD9">
        <w:t xml:space="preserve"> when a petition </w:t>
      </w:r>
      <w:r w:rsidR="00917688" w:rsidRPr="00917688">
        <w:t>identifies a worker group at a specific firm or subdivision and covers all individuals in that group. A group of workers may be eligible for TAA if their jobs are lost or threatened due to trade-related circumstances as determined by the DOL investigation.</w:t>
      </w:r>
    </w:p>
    <w:p w14:paraId="5064F41C" w14:textId="4BF5AEBD" w:rsidR="00917688" w:rsidRDefault="00917688" w:rsidP="006C0A16">
      <w:pPr>
        <w:pStyle w:val="AfterHeading2"/>
      </w:pPr>
    </w:p>
    <w:p w14:paraId="2B3D56F6" w14:textId="5B18F3A8" w:rsidR="00917688" w:rsidRDefault="00E92DB9" w:rsidP="006C0A16">
      <w:pPr>
        <w:pStyle w:val="AfterHeading2"/>
      </w:pPr>
      <w:r>
        <w:t>Circumstances may include:</w:t>
      </w:r>
    </w:p>
    <w:p w14:paraId="6A284976" w14:textId="7937D9F0" w:rsidR="00906CAE" w:rsidRPr="00BB6B20" w:rsidRDefault="00906CAE" w:rsidP="00906CAE">
      <w:pPr>
        <w:numPr>
          <w:ilvl w:val="1"/>
          <w:numId w:val="26"/>
        </w:numPr>
        <w:shd w:val="clear" w:color="auto" w:fill="FFFFFF"/>
        <w:spacing w:line="293" w:lineRule="atLeast"/>
        <w:ind w:right="360"/>
        <w:rPr>
          <w:color w:val="000000"/>
        </w:rPr>
      </w:pPr>
      <w:r w:rsidRPr="00BB6B20">
        <w:rPr>
          <w:color w:val="000000"/>
        </w:rPr>
        <w:t>Increased imports of either articles or services</w:t>
      </w:r>
      <w:r>
        <w:rPr>
          <w:color w:val="000000"/>
        </w:rPr>
        <w:t>;</w:t>
      </w:r>
    </w:p>
    <w:p w14:paraId="269717D3" w14:textId="77777777" w:rsidR="00906CAE" w:rsidRPr="00BB6B20" w:rsidRDefault="00906CAE" w:rsidP="00906CAE">
      <w:pPr>
        <w:numPr>
          <w:ilvl w:val="1"/>
          <w:numId w:val="26"/>
        </w:numPr>
        <w:shd w:val="clear" w:color="auto" w:fill="FFFFFF"/>
        <w:spacing w:line="293" w:lineRule="atLeast"/>
        <w:ind w:right="360"/>
        <w:rPr>
          <w:color w:val="000000"/>
        </w:rPr>
      </w:pPr>
      <w:r w:rsidRPr="00BB6B20">
        <w:rPr>
          <w:color w:val="000000"/>
        </w:rPr>
        <w:t>A shift in production to or an acquisition of services or articles from any foreign country by a worker's company;</w:t>
      </w:r>
    </w:p>
    <w:p w14:paraId="0D79B8F8" w14:textId="77777777" w:rsidR="00906CAE" w:rsidRPr="00BB6B20" w:rsidRDefault="00906CAE" w:rsidP="00906CAE">
      <w:pPr>
        <w:numPr>
          <w:ilvl w:val="1"/>
          <w:numId w:val="26"/>
        </w:numPr>
        <w:shd w:val="clear" w:color="auto" w:fill="FFFFFF"/>
        <w:spacing w:line="293" w:lineRule="atLeast"/>
        <w:ind w:right="360"/>
        <w:rPr>
          <w:color w:val="000000"/>
        </w:rPr>
      </w:pPr>
      <w:r w:rsidRPr="00BB6B20">
        <w:rPr>
          <w:color w:val="000000"/>
        </w:rPr>
        <w:t>A worker's employer's loss of business from a customer with </w:t>
      </w:r>
      <w:r w:rsidRPr="00BB6B20">
        <w:rPr>
          <w:color w:val="000000"/>
          <w:bdr w:val="none" w:sz="0" w:space="0" w:color="auto" w:frame="1"/>
        </w:rPr>
        <w:t>TAA</w:t>
      </w:r>
      <w:r w:rsidRPr="00BB6B20">
        <w:rPr>
          <w:color w:val="000000"/>
        </w:rPr>
        <w:t>-certified workers; or</w:t>
      </w:r>
    </w:p>
    <w:p w14:paraId="674857C2" w14:textId="1E4E7332" w:rsidR="00E92DB9" w:rsidRPr="00296BDC" w:rsidRDefault="00906CAE" w:rsidP="00906CAE">
      <w:pPr>
        <w:pStyle w:val="AfterHeading2"/>
        <w:numPr>
          <w:ilvl w:val="1"/>
          <w:numId w:val="26"/>
        </w:numPr>
      </w:pPr>
      <w:r w:rsidRPr="00BB6B20">
        <w:rPr>
          <w:color w:val="000000"/>
        </w:rPr>
        <w:t>A worker's employer is identified as trade-injured by the International Trade Commission (</w:t>
      </w:r>
      <w:r w:rsidRPr="00BB6B20">
        <w:rPr>
          <w:color w:val="000000"/>
          <w:bdr w:val="none" w:sz="0" w:space="0" w:color="auto" w:frame="1"/>
        </w:rPr>
        <w:t>ITC</w:t>
      </w:r>
      <w:r w:rsidRPr="00BB6B20">
        <w:rPr>
          <w:color w:val="000000"/>
        </w:rPr>
        <w:t>).</w:t>
      </w:r>
    </w:p>
    <w:p w14:paraId="42A60407" w14:textId="75F56997" w:rsidR="00296BDC" w:rsidRDefault="00296BDC" w:rsidP="00296BDC">
      <w:pPr>
        <w:pStyle w:val="AfterHeading2"/>
      </w:pPr>
    </w:p>
    <w:p w14:paraId="62E0B905" w14:textId="7A4DA137" w:rsidR="00296BDC" w:rsidRDefault="00671BC2" w:rsidP="004E1C31">
      <w:pPr>
        <w:pStyle w:val="Heading3"/>
      </w:pPr>
      <w:bookmarkStart w:id="11" w:name="_Toc972734"/>
      <w:r>
        <w:lastRenderedPageBreak/>
        <w:t>Outplacement</w:t>
      </w:r>
      <w:r w:rsidR="003D6730">
        <w:t xml:space="preserve">s </w:t>
      </w:r>
      <w:r w:rsidR="002C4474">
        <w:t>Coordinator Duties for TAA</w:t>
      </w:r>
      <w:bookmarkEnd w:id="11"/>
    </w:p>
    <w:p w14:paraId="365D7C0F" w14:textId="011F06BA" w:rsidR="00A76F0C" w:rsidRDefault="003D6730" w:rsidP="00A76F0C">
      <w:pPr>
        <w:pStyle w:val="AfterHeading2"/>
      </w:pPr>
      <w:r>
        <w:t>The Outplacement Coordinator</w:t>
      </w:r>
      <w:r w:rsidR="000657D6">
        <w:t xml:space="preserve"> </w:t>
      </w:r>
      <w:r w:rsidR="00A76F0C">
        <w:t>must update the TAA log</w:t>
      </w:r>
      <w:r w:rsidR="00022A6B">
        <w:t xml:space="preserve">, report monthly contacts, </w:t>
      </w:r>
      <w:r w:rsidR="00055215">
        <w:t xml:space="preserve">and </w:t>
      </w:r>
      <w:r w:rsidR="00022A6B">
        <w:t xml:space="preserve">receive </w:t>
      </w:r>
      <w:r w:rsidR="00055215">
        <w:t>/</w:t>
      </w:r>
      <w:r w:rsidR="00022A6B">
        <w:t xml:space="preserve"> process </w:t>
      </w:r>
      <w:r w:rsidR="00055215">
        <w:t xml:space="preserve">TAA petitions from </w:t>
      </w:r>
      <w:r w:rsidR="00321068">
        <w:t>TWC’s Trade Unit, an employer, or three employees of the TAA company.</w:t>
      </w:r>
    </w:p>
    <w:p w14:paraId="09EACB22" w14:textId="77777777" w:rsidR="00A76F0C" w:rsidRPr="00A76F0C" w:rsidRDefault="00A76F0C" w:rsidP="00A76F0C">
      <w:pPr>
        <w:pStyle w:val="AfterHeading2"/>
      </w:pPr>
    </w:p>
    <w:p w14:paraId="16BFF613" w14:textId="6F911178" w:rsidR="002C4474" w:rsidRPr="002C4474" w:rsidRDefault="00E93A38" w:rsidP="002C4474">
      <w:pPr>
        <w:pStyle w:val="Heading3"/>
      </w:pPr>
      <w:bookmarkStart w:id="12" w:name="_Toc972735"/>
      <w:r>
        <w:t>TAA Orientation</w:t>
      </w:r>
      <w:bookmarkEnd w:id="12"/>
    </w:p>
    <w:p w14:paraId="570E1BD3" w14:textId="74B3CC5E" w:rsidR="008B12C6" w:rsidRDefault="006E2B43" w:rsidP="006E2B43">
      <w:pPr>
        <w:pStyle w:val="AfterHeading2"/>
      </w:pPr>
      <w:r>
        <w:t xml:space="preserve">The TAA orientation follows the same guidelines as other </w:t>
      </w:r>
      <w:r w:rsidR="00671BC2">
        <w:t>outplacement</w:t>
      </w:r>
      <w:r w:rsidR="00A875AD">
        <w:t xml:space="preserve"> </w:t>
      </w:r>
      <w:r>
        <w:t>orientations (Section III, C)</w:t>
      </w:r>
      <w:r w:rsidR="00C00A12">
        <w:t xml:space="preserve"> with the addition of </w:t>
      </w:r>
      <w:r w:rsidR="000D2D26">
        <w:t xml:space="preserve">a </w:t>
      </w:r>
      <w:r w:rsidR="00C00A12">
        <w:t>designated TAA representative from a Workforce Solutions career office presenting</w:t>
      </w:r>
      <w:r w:rsidR="000D2D26">
        <w:t xml:space="preserve"> the TAA orientation information</w:t>
      </w:r>
      <w:r w:rsidR="00DD25F5">
        <w:t xml:space="preserve">, inviting customers to visit </w:t>
      </w:r>
      <w:r w:rsidR="00696CD6">
        <w:t>their local career office to file a TAA claim, and distributing TAA brochures.</w:t>
      </w:r>
    </w:p>
    <w:p w14:paraId="080BC601" w14:textId="77777777" w:rsidR="008E2885" w:rsidRDefault="008E2885" w:rsidP="006E2B43">
      <w:pPr>
        <w:pStyle w:val="AfterHeading2"/>
      </w:pPr>
    </w:p>
    <w:p w14:paraId="6D1A35A5" w14:textId="5B90D527" w:rsidR="00A36F18" w:rsidRPr="00453962" w:rsidRDefault="00A36F18" w:rsidP="008A3955">
      <w:pPr>
        <w:pStyle w:val="Heading1"/>
        <w:rPr>
          <w:b/>
        </w:rPr>
      </w:pPr>
      <w:bookmarkStart w:id="13" w:name="_Toc972736"/>
      <w:r w:rsidRPr="00453962">
        <w:t>Forms</w:t>
      </w:r>
      <w:bookmarkEnd w:id="13"/>
      <w:r w:rsidRPr="00453962">
        <w:t xml:space="preserve"> </w:t>
      </w:r>
    </w:p>
    <w:p w14:paraId="1C62CB6F" w14:textId="348F51DC" w:rsidR="00A36F18" w:rsidRDefault="00134517" w:rsidP="00A36F18">
      <w:pPr>
        <w:ind w:left="60"/>
        <w:rPr>
          <w:snapToGrid w:val="0"/>
        </w:rPr>
      </w:pPr>
      <w:r>
        <w:rPr>
          <w:snapToGrid w:val="0"/>
        </w:rPr>
        <w:t>T</w:t>
      </w:r>
      <w:r w:rsidR="00A36F18">
        <w:rPr>
          <w:snapToGrid w:val="0"/>
        </w:rPr>
        <w:t xml:space="preserve">he following </w:t>
      </w:r>
      <w:r>
        <w:rPr>
          <w:snapToGrid w:val="0"/>
        </w:rPr>
        <w:t xml:space="preserve">documents are part of the </w:t>
      </w:r>
      <w:r w:rsidR="00671BC2">
        <w:rPr>
          <w:snapToGrid w:val="0"/>
        </w:rPr>
        <w:t>Outplacement</w:t>
      </w:r>
      <w:r>
        <w:rPr>
          <w:snapToGrid w:val="0"/>
        </w:rPr>
        <w:t xml:space="preserve"> process</w:t>
      </w:r>
      <w:r w:rsidR="00671BC2">
        <w:rPr>
          <w:snapToGrid w:val="0"/>
        </w:rPr>
        <w:t>:</w:t>
      </w:r>
      <w:r w:rsidR="00A36F18">
        <w:rPr>
          <w:snapToGrid w:val="0"/>
        </w:rPr>
        <w:t xml:space="preserve"> </w:t>
      </w:r>
    </w:p>
    <w:p w14:paraId="7F435E3C" w14:textId="764DAA8A" w:rsidR="00A36F18" w:rsidRDefault="00BD63CB" w:rsidP="006329B2">
      <w:pPr>
        <w:pStyle w:val="ListParagraph"/>
        <w:numPr>
          <w:ilvl w:val="0"/>
          <w:numId w:val="11"/>
        </w:numPr>
        <w:spacing w:before="0" w:after="0"/>
        <w:ind w:left="780" w:right="0"/>
      </w:pPr>
      <w:r w:rsidRPr="008D451C">
        <w:t xml:space="preserve">Rapid Response Layoff Notification Action </w:t>
      </w:r>
      <w:r w:rsidR="00982402">
        <w:t>f</w:t>
      </w:r>
      <w:r w:rsidRPr="008D451C">
        <w:t>orm</w:t>
      </w:r>
      <w:r>
        <w:t xml:space="preserve"> </w:t>
      </w:r>
    </w:p>
    <w:p w14:paraId="3C5DD75A" w14:textId="23DE48B3" w:rsidR="00BD63CB" w:rsidRDefault="00671BC2" w:rsidP="006329B2">
      <w:pPr>
        <w:pStyle w:val="ListParagraph"/>
        <w:numPr>
          <w:ilvl w:val="0"/>
          <w:numId w:val="11"/>
        </w:numPr>
        <w:spacing w:before="0" w:after="0"/>
        <w:ind w:left="780" w:right="0"/>
      </w:pPr>
      <w:r>
        <w:t>Outplacement</w:t>
      </w:r>
      <w:r w:rsidR="00A875AD">
        <w:t xml:space="preserve"> </w:t>
      </w:r>
      <w:r w:rsidR="00BD63CB">
        <w:t xml:space="preserve">Agenda </w:t>
      </w:r>
      <w:r w:rsidR="00982402">
        <w:t>f</w:t>
      </w:r>
      <w:r w:rsidR="00BD63CB">
        <w:t xml:space="preserve">ormat </w:t>
      </w:r>
    </w:p>
    <w:p w14:paraId="7EBE548A" w14:textId="1C9456B6" w:rsidR="00A36F18" w:rsidRDefault="00982402" w:rsidP="006329B2">
      <w:pPr>
        <w:pStyle w:val="ListParagraph"/>
        <w:numPr>
          <w:ilvl w:val="0"/>
          <w:numId w:val="11"/>
        </w:numPr>
        <w:spacing w:before="0" w:after="0"/>
        <w:ind w:left="780" w:right="0"/>
      </w:pPr>
      <w:r>
        <w:t>TWIST Registration form</w:t>
      </w:r>
    </w:p>
    <w:p w14:paraId="01CF5139" w14:textId="4B98FFC9" w:rsidR="00982402" w:rsidRDefault="00937535" w:rsidP="006329B2">
      <w:pPr>
        <w:pStyle w:val="ListParagraph"/>
        <w:numPr>
          <w:ilvl w:val="0"/>
          <w:numId w:val="11"/>
        </w:numPr>
        <w:spacing w:before="0" w:after="0"/>
        <w:ind w:left="780" w:right="0"/>
      </w:pPr>
      <w:r>
        <w:t>TAA Petition form</w:t>
      </w:r>
    </w:p>
    <w:p w14:paraId="47999125" w14:textId="6F711488" w:rsidR="001D1702" w:rsidRDefault="001D1702" w:rsidP="001D1702"/>
    <w:p w14:paraId="0AA5B302" w14:textId="77777777" w:rsidR="00A36F18" w:rsidRDefault="00A36F18" w:rsidP="001658C6">
      <w:pPr>
        <w:rPr>
          <w:rFonts w:ascii="Arial" w:hAnsi="Arial" w:cs="Arial"/>
          <w:sz w:val="22"/>
          <w:szCs w:val="22"/>
        </w:rPr>
      </w:pPr>
    </w:p>
    <w:sectPr w:rsidR="00A36F18" w:rsidSect="001D17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12F2" w14:textId="77777777" w:rsidR="00751E0B" w:rsidRDefault="00751E0B" w:rsidP="000A0BA7">
      <w:r>
        <w:separator/>
      </w:r>
    </w:p>
  </w:endnote>
  <w:endnote w:type="continuationSeparator" w:id="0">
    <w:p w14:paraId="53E898AD" w14:textId="77777777" w:rsidR="00751E0B" w:rsidRDefault="00751E0B" w:rsidP="000A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392D" w14:textId="77777777" w:rsidR="00671BC2" w:rsidRDefault="00671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CBB7E" w14:textId="3A5D3A74" w:rsidR="00E348D4" w:rsidRDefault="00E348D4" w:rsidP="00E348D4">
    <w:pPr>
      <w:rPr>
        <w:i/>
        <w:sz w:val="20"/>
      </w:rPr>
    </w:pPr>
    <w:r w:rsidRPr="00BD42C4">
      <w:rPr>
        <w:sz w:val="20"/>
      </w:rPr>
      <w:t xml:space="preserve">Workforce Solutions </w:t>
    </w:r>
    <w:r w:rsidR="003D6730">
      <w:rPr>
        <w:sz w:val="20"/>
      </w:rPr>
      <w:t>Outplacement</w:t>
    </w:r>
    <w:r>
      <w:rPr>
        <w:sz w:val="20"/>
      </w:rPr>
      <w:t xml:space="preserve"> Standards and Guidelines</w:t>
    </w:r>
  </w:p>
  <w:p w14:paraId="61219435" w14:textId="44DB9066" w:rsidR="00E348D4" w:rsidRPr="00BD42C4" w:rsidRDefault="00587ECE" w:rsidP="00E348D4">
    <w:pPr>
      <w:ind w:right="-360"/>
      <w:rPr>
        <w:sz w:val="20"/>
      </w:rPr>
    </w:pPr>
    <w:r>
      <w:rPr>
        <w:i/>
        <w:sz w:val="20"/>
      </w:rPr>
      <w:t xml:space="preserve">August </w:t>
    </w:r>
    <w:r w:rsidR="00E348D4">
      <w:rPr>
        <w:i/>
        <w:sz w:val="20"/>
      </w:rPr>
      <w:t>2019</w:t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</w:r>
    <w:r w:rsidR="00E348D4">
      <w:rPr>
        <w:i/>
        <w:sz w:val="20"/>
      </w:rPr>
      <w:tab/>
      <w:t xml:space="preserve">               </w:t>
    </w:r>
    <w:r w:rsidR="00E348D4" w:rsidRPr="00BD42C4">
      <w:rPr>
        <w:sz w:val="20"/>
      </w:rPr>
      <w:t xml:space="preserve">Page </w:t>
    </w:r>
    <w:r w:rsidR="00E348D4" w:rsidRPr="00BD42C4">
      <w:rPr>
        <w:sz w:val="20"/>
      </w:rPr>
      <w:fldChar w:fldCharType="begin"/>
    </w:r>
    <w:r w:rsidR="00E348D4" w:rsidRPr="00BD42C4">
      <w:rPr>
        <w:sz w:val="20"/>
      </w:rPr>
      <w:instrText xml:space="preserve"> PAGE </w:instrText>
    </w:r>
    <w:r w:rsidR="00E348D4" w:rsidRPr="00BD42C4">
      <w:rPr>
        <w:sz w:val="20"/>
      </w:rPr>
      <w:fldChar w:fldCharType="separate"/>
    </w:r>
    <w:r w:rsidR="00E348D4">
      <w:t>6</w:t>
    </w:r>
    <w:r w:rsidR="00E348D4" w:rsidRPr="00BD42C4">
      <w:rPr>
        <w:sz w:val="20"/>
      </w:rPr>
      <w:fldChar w:fldCharType="end"/>
    </w:r>
    <w:r w:rsidR="00E348D4" w:rsidRPr="00BD42C4">
      <w:rPr>
        <w:sz w:val="20"/>
      </w:rPr>
      <w:t xml:space="preserve"> of </w:t>
    </w:r>
    <w:r w:rsidR="0065552A">
      <w:rPr>
        <w:sz w:val="20"/>
      </w:rPr>
      <w:t>7</w:t>
    </w:r>
  </w:p>
  <w:p w14:paraId="603FA160" w14:textId="77777777" w:rsidR="00E348D4" w:rsidRPr="006C07CF" w:rsidRDefault="00E348D4" w:rsidP="00E348D4">
    <w:pPr>
      <w:jc w:val="center"/>
      <w:rPr>
        <w:i/>
        <w:sz w:val="12"/>
        <w:szCs w:val="12"/>
      </w:rPr>
    </w:pPr>
  </w:p>
  <w:p w14:paraId="041EBDD7" w14:textId="77777777" w:rsidR="00E348D4" w:rsidRDefault="00E348D4" w:rsidP="00E348D4">
    <w:pPr>
      <w:jc w:val="center"/>
      <w:rPr>
        <w:i/>
        <w:sz w:val="12"/>
        <w:szCs w:val="12"/>
      </w:rPr>
    </w:pPr>
    <w:r w:rsidRPr="006C07CF">
      <w:rPr>
        <w:i/>
        <w:sz w:val="12"/>
        <w:szCs w:val="12"/>
      </w:rPr>
      <w:t>Workforce Solutions is an equal opportunity employer/program. Auxiliary aids and services are available upon request to individuals with disabilities.</w:t>
    </w:r>
  </w:p>
  <w:p w14:paraId="78045E1C" w14:textId="2FD32F84" w:rsidR="001C62EE" w:rsidRPr="001658C6" w:rsidRDefault="00E348D4" w:rsidP="00E348D4">
    <w:pPr>
      <w:jc w:val="center"/>
    </w:pPr>
    <w:r w:rsidRPr="006C07CF">
      <w:rPr>
        <w:i/>
        <w:sz w:val="12"/>
        <w:szCs w:val="12"/>
      </w:rPr>
      <w:t xml:space="preserve">Relay </w:t>
    </w:r>
    <w:r>
      <w:rPr>
        <w:i/>
        <w:sz w:val="12"/>
        <w:szCs w:val="12"/>
      </w:rPr>
      <w:t xml:space="preserve">Texas </w:t>
    </w:r>
    <w:r w:rsidRPr="006C07CF">
      <w:rPr>
        <w:i/>
        <w:sz w:val="12"/>
        <w:szCs w:val="12"/>
      </w:rPr>
      <w:t>Numbers:1-800-735-2989 (TDD</w:t>
    </w:r>
    <w:r>
      <w:rPr>
        <w:i/>
        <w:sz w:val="12"/>
        <w:szCs w:val="12"/>
      </w:rPr>
      <w:t>) 1-800-735-2988 (Voice) or 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8C02" w14:textId="77777777" w:rsidR="00671BC2" w:rsidRDefault="00671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B48E" w14:textId="77777777" w:rsidR="00751E0B" w:rsidRDefault="00751E0B" w:rsidP="000A0BA7">
      <w:r>
        <w:separator/>
      </w:r>
    </w:p>
  </w:footnote>
  <w:footnote w:type="continuationSeparator" w:id="0">
    <w:p w14:paraId="4B57A9FD" w14:textId="77777777" w:rsidR="00751E0B" w:rsidRDefault="00751E0B" w:rsidP="000A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56E4" w14:textId="77777777" w:rsidR="00671BC2" w:rsidRDefault="00671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84D2" w14:textId="77777777" w:rsidR="001D1702" w:rsidRDefault="001D1702" w:rsidP="001D1702">
    <w:pPr>
      <w:pStyle w:val="Header"/>
    </w:pPr>
    <w:r>
      <w:rPr>
        <w:noProof/>
      </w:rPr>
      <w:drawing>
        <wp:inline distT="0" distB="0" distL="0" distR="0" wp14:anchorId="15C57A33" wp14:editId="53EDAD00">
          <wp:extent cx="3114675" cy="819150"/>
          <wp:effectExtent l="0" t="0" r="9525" b="0"/>
          <wp:docPr id="5" name="Picture 5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4412F" w14:textId="4E73CB41" w:rsidR="001D1702" w:rsidRDefault="00C72515" w:rsidP="001D1702">
    <w:pPr>
      <w:pStyle w:val="Header"/>
      <w:rPr>
        <w:sz w:val="32"/>
        <w:szCs w:val="32"/>
      </w:rPr>
    </w:pPr>
    <w:r>
      <w:rPr>
        <w:sz w:val="32"/>
        <w:szCs w:val="32"/>
      </w:rPr>
      <w:t>Outplacement</w:t>
    </w:r>
    <w:r w:rsidR="001D1702">
      <w:rPr>
        <w:sz w:val="32"/>
        <w:szCs w:val="32"/>
      </w:rPr>
      <w:t xml:space="preserve"> Standards and Guidelines</w:t>
    </w:r>
  </w:p>
  <w:p w14:paraId="1BA353D5" w14:textId="77777777" w:rsidR="001D1702" w:rsidRDefault="001D1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5A52" w14:textId="77777777" w:rsidR="00671BC2" w:rsidRDefault="00671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232F"/>
    <w:multiLevelType w:val="hybridMultilevel"/>
    <w:tmpl w:val="8AEE33BA"/>
    <w:lvl w:ilvl="0" w:tplc="D8BAF33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B75"/>
    <w:multiLevelType w:val="hybridMultilevel"/>
    <w:tmpl w:val="1DD4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561"/>
    <w:multiLevelType w:val="hybridMultilevel"/>
    <w:tmpl w:val="CF1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7C9"/>
    <w:multiLevelType w:val="hybridMultilevel"/>
    <w:tmpl w:val="68F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52D8"/>
    <w:multiLevelType w:val="hybridMultilevel"/>
    <w:tmpl w:val="D64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5E0"/>
    <w:multiLevelType w:val="hybridMultilevel"/>
    <w:tmpl w:val="40D23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C54B2"/>
    <w:multiLevelType w:val="hybridMultilevel"/>
    <w:tmpl w:val="9BB4E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5C45"/>
    <w:multiLevelType w:val="hybridMultilevel"/>
    <w:tmpl w:val="39D4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4F7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2A897957"/>
    <w:multiLevelType w:val="hybridMultilevel"/>
    <w:tmpl w:val="1994B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F2F37"/>
    <w:multiLevelType w:val="hybridMultilevel"/>
    <w:tmpl w:val="F83A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134F"/>
    <w:multiLevelType w:val="hybridMultilevel"/>
    <w:tmpl w:val="734827AC"/>
    <w:lvl w:ilvl="0" w:tplc="C374CEB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97B6C0E"/>
    <w:multiLevelType w:val="hybridMultilevel"/>
    <w:tmpl w:val="2BF0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7727AC"/>
    <w:multiLevelType w:val="hybridMultilevel"/>
    <w:tmpl w:val="4BFC84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C0EC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EA338CE"/>
    <w:multiLevelType w:val="hybridMultilevel"/>
    <w:tmpl w:val="C388D32E"/>
    <w:lvl w:ilvl="0" w:tplc="32CE53AE">
      <w:start w:val="1"/>
      <w:numFmt w:val="upperRoman"/>
      <w:pStyle w:val="Heading1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56EE"/>
    <w:multiLevelType w:val="hybridMultilevel"/>
    <w:tmpl w:val="F0A44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7A9CD4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FC06F5"/>
    <w:multiLevelType w:val="hybridMultilevel"/>
    <w:tmpl w:val="15CC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05213"/>
    <w:multiLevelType w:val="hybridMultilevel"/>
    <w:tmpl w:val="AD342130"/>
    <w:lvl w:ilvl="0" w:tplc="ED8808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6677E"/>
    <w:multiLevelType w:val="hybridMultilevel"/>
    <w:tmpl w:val="23AC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0DED"/>
    <w:multiLevelType w:val="hybridMultilevel"/>
    <w:tmpl w:val="9DDE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7A9CD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C729F0"/>
    <w:multiLevelType w:val="hybridMultilevel"/>
    <w:tmpl w:val="4078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6AE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72836EF4"/>
    <w:multiLevelType w:val="hybridMultilevel"/>
    <w:tmpl w:val="3E84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832F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D782F"/>
    <w:multiLevelType w:val="hybridMultilevel"/>
    <w:tmpl w:val="FE6E4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A30DEE"/>
    <w:multiLevelType w:val="hybridMultilevel"/>
    <w:tmpl w:val="44DA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162C"/>
    <w:multiLevelType w:val="hybridMultilevel"/>
    <w:tmpl w:val="FD900750"/>
    <w:lvl w:ilvl="0" w:tplc="E0CC98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92933"/>
    <w:multiLevelType w:val="hybridMultilevel"/>
    <w:tmpl w:val="704A48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7139D6"/>
    <w:multiLevelType w:val="hybridMultilevel"/>
    <w:tmpl w:val="FC362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BFC56B7"/>
    <w:multiLevelType w:val="hybridMultilevel"/>
    <w:tmpl w:val="FA5E9F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4"/>
  </w:num>
  <w:num w:numId="5">
    <w:abstractNumId w:val="1"/>
  </w:num>
  <w:num w:numId="6">
    <w:abstractNumId w:val="11"/>
  </w:num>
  <w:num w:numId="7">
    <w:abstractNumId w:val="30"/>
  </w:num>
  <w:num w:numId="8">
    <w:abstractNumId w:val="6"/>
  </w:num>
  <w:num w:numId="9">
    <w:abstractNumId w:val="17"/>
  </w:num>
  <w:num w:numId="10">
    <w:abstractNumId w:val="27"/>
  </w:num>
  <w:num w:numId="11">
    <w:abstractNumId w:val="5"/>
  </w:num>
  <w:num w:numId="12">
    <w:abstractNumId w:val="29"/>
  </w:num>
  <w:num w:numId="13">
    <w:abstractNumId w:val="13"/>
  </w:num>
  <w:num w:numId="14">
    <w:abstractNumId w:val="22"/>
  </w:num>
  <w:num w:numId="15">
    <w:abstractNumId w:val="18"/>
  </w:num>
  <w:num w:numId="16">
    <w:abstractNumId w:val="15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  <w:num w:numId="21">
    <w:abstractNumId w:val="28"/>
  </w:num>
  <w:num w:numId="22">
    <w:abstractNumId w:val="2"/>
  </w:num>
  <w:num w:numId="23">
    <w:abstractNumId w:val="12"/>
  </w:num>
  <w:num w:numId="24">
    <w:abstractNumId w:val="25"/>
  </w:num>
  <w:num w:numId="25">
    <w:abstractNumId w:val="21"/>
  </w:num>
  <w:num w:numId="26">
    <w:abstractNumId w:val="24"/>
  </w:num>
  <w:num w:numId="27">
    <w:abstractNumId w:val="26"/>
  </w:num>
  <w:num w:numId="28">
    <w:abstractNumId w:val="7"/>
  </w:num>
  <w:num w:numId="29">
    <w:abstractNumId w:val="14"/>
  </w:num>
  <w:num w:numId="30">
    <w:abstractNumId w:val="0"/>
  </w:num>
  <w:num w:numId="31">
    <w:abstractNumId w:val="23"/>
  </w:num>
  <w:num w:numId="3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03"/>
    <w:rsid w:val="00003004"/>
    <w:rsid w:val="00004416"/>
    <w:rsid w:val="00004817"/>
    <w:rsid w:val="0000639A"/>
    <w:rsid w:val="0001588F"/>
    <w:rsid w:val="00020D4F"/>
    <w:rsid w:val="000215E0"/>
    <w:rsid w:val="00022A6B"/>
    <w:rsid w:val="0002668C"/>
    <w:rsid w:val="0003468C"/>
    <w:rsid w:val="00034C35"/>
    <w:rsid w:val="00052E8C"/>
    <w:rsid w:val="00055215"/>
    <w:rsid w:val="000612E0"/>
    <w:rsid w:val="00062AFB"/>
    <w:rsid w:val="00062C88"/>
    <w:rsid w:val="000657D6"/>
    <w:rsid w:val="0008063E"/>
    <w:rsid w:val="00081B3A"/>
    <w:rsid w:val="00086A2C"/>
    <w:rsid w:val="000A0BA7"/>
    <w:rsid w:val="000A14AE"/>
    <w:rsid w:val="000A5E74"/>
    <w:rsid w:val="000B304F"/>
    <w:rsid w:val="000B39D1"/>
    <w:rsid w:val="000B4EBB"/>
    <w:rsid w:val="000B6883"/>
    <w:rsid w:val="000D2D26"/>
    <w:rsid w:val="000D4B7D"/>
    <w:rsid w:val="000E27BF"/>
    <w:rsid w:val="000E6F91"/>
    <w:rsid w:val="000F0FBC"/>
    <w:rsid w:val="000F55F5"/>
    <w:rsid w:val="000F68E0"/>
    <w:rsid w:val="00102F29"/>
    <w:rsid w:val="0011419E"/>
    <w:rsid w:val="001148B2"/>
    <w:rsid w:val="00126DC2"/>
    <w:rsid w:val="00127419"/>
    <w:rsid w:val="00132ED8"/>
    <w:rsid w:val="001336E6"/>
    <w:rsid w:val="00133C16"/>
    <w:rsid w:val="00134517"/>
    <w:rsid w:val="00135BE8"/>
    <w:rsid w:val="00161E87"/>
    <w:rsid w:val="00164CD0"/>
    <w:rsid w:val="001658C6"/>
    <w:rsid w:val="00166750"/>
    <w:rsid w:val="00191285"/>
    <w:rsid w:val="00195295"/>
    <w:rsid w:val="001A2D8C"/>
    <w:rsid w:val="001A4A6B"/>
    <w:rsid w:val="001C3CAE"/>
    <w:rsid w:val="001C6A69"/>
    <w:rsid w:val="001D1702"/>
    <w:rsid w:val="001D65FB"/>
    <w:rsid w:val="001E6DCC"/>
    <w:rsid w:val="001F1317"/>
    <w:rsid w:val="002223BD"/>
    <w:rsid w:val="0022275C"/>
    <w:rsid w:val="00226207"/>
    <w:rsid w:val="00235C5A"/>
    <w:rsid w:val="00244BB6"/>
    <w:rsid w:val="00255A31"/>
    <w:rsid w:val="002568C1"/>
    <w:rsid w:val="00257AB6"/>
    <w:rsid w:val="0026568A"/>
    <w:rsid w:val="00266E78"/>
    <w:rsid w:val="00274BC7"/>
    <w:rsid w:val="0028655C"/>
    <w:rsid w:val="00294401"/>
    <w:rsid w:val="00296BDC"/>
    <w:rsid w:val="002A1F60"/>
    <w:rsid w:val="002A2438"/>
    <w:rsid w:val="002A4A90"/>
    <w:rsid w:val="002B5049"/>
    <w:rsid w:val="002C4474"/>
    <w:rsid w:val="002C5B44"/>
    <w:rsid w:val="002C5E9F"/>
    <w:rsid w:val="002E080E"/>
    <w:rsid w:val="002E2255"/>
    <w:rsid w:val="0030501E"/>
    <w:rsid w:val="00305772"/>
    <w:rsid w:val="00314E5D"/>
    <w:rsid w:val="00321068"/>
    <w:rsid w:val="003228DA"/>
    <w:rsid w:val="00323F81"/>
    <w:rsid w:val="003302F6"/>
    <w:rsid w:val="00332B99"/>
    <w:rsid w:val="0034095A"/>
    <w:rsid w:val="00355498"/>
    <w:rsid w:val="0035584D"/>
    <w:rsid w:val="003563BC"/>
    <w:rsid w:val="00370F0A"/>
    <w:rsid w:val="003771EF"/>
    <w:rsid w:val="0037791F"/>
    <w:rsid w:val="00383CF1"/>
    <w:rsid w:val="00384A68"/>
    <w:rsid w:val="003B1606"/>
    <w:rsid w:val="003C4C06"/>
    <w:rsid w:val="003C6C2F"/>
    <w:rsid w:val="003D1757"/>
    <w:rsid w:val="003D6730"/>
    <w:rsid w:val="003E0911"/>
    <w:rsid w:val="003E09FB"/>
    <w:rsid w:val="003F43A7"/>
    <w:rsid w:val="003F4B3C"/>
    <w:rsid w:val="00400CFE"/>
    <w:rsid w:val="004073E4"/>
    <w:rsid w:val="00411732"/>
    <w:rsid w:val="004154AE"/>
    <w:rsid w:val="00456974"/>
    <w:rsid w:val="0046340F"/>
    <w:rsid w:val="0046381A"/>
    <w:rsid w:val="00463A9D"/>
    <w:rsid w:val="0047234C"/>
    <w:rsid w:val="00475E27"/>
    <w:rsid w:val="00480DEE"/>
    <w:rsid w:val="004A3BA6"/>
    <w:rsid w:val="004A5AFB"/>
    <w:rsid w:val="004C2309"/>
    <w:rsid w:val="004C670E"/>
    <w:rsid w:val="004D131B"/>
    <w:rsid w:val="004E1C31"/>
    <w:rsid w:val="004F05B9"/>
    <w:rsid w:val="004F10A2"/>
    <w:rsid w:val="00501F0B"/>
    <w:rsid w:val="005024FC"/>
    <w:rsid w:val="00504196"/>
    <w:rsid w:val="00507963"/>
    <w:rsid w:val="00510934"/>
    <w:rsid w:val="00514E35"/>
    <w:rsid w:val="005168A1"/>
    <w:rsid w:val="00526121"/>
    <w:rsid w:val="0053239C"/>
    <w:rsid w:val="00534D32"/>
    <w:rsid w:val="00535494"/>
    <w:rsid w:val="00544F09"/>
    <w:rsid w:val="005657D7"/>
    <w:rsid w:val="0057782F"/>
    <w:rsid w:val="005803AC"/>
    <w:rsid w:val="00581D5A"/>
    <w:rsid w:val="00587ECE"/>
    <w:rsid w:val="0059019A"/>
    <w:rsid w:val="00592001"/>
    <w:rsid w:val="005A438A"/>
    <w:rsid w:val="005A7C43"/>
    <w:rsid w:val="005B57AF"/>
    <w:rsid w:val="005C1D96"/>
    <w:rsid w:val="005C6A8F"/>
    <w:rsid w:val="005F5403"/>
    <w:rsid w:val="005F7E37"/>
    <w:rsid w:val="00601741"/>
    <w:rsid w:val="00605050"/>
    <w:rsid w:val="00605417"/>
    <w:rsid w:val="0061002D"/>
    <w:rsid w:val="006214DC"/>
    <w:rsid w:val="00623A98"/>
    <w:rsid w:val="00626800"/>
    <w:rsid w:val="00632146"/>
    <w:rsid w:val="006329B2"/>
    <w:rsid w:val="0065552A"/>
    <w:rsid w:val="00660059"/>
    <w:rsid w:val="006675EB"/>
    <w:rsid w:val="00671BC2"/>
    <w:rsid w:val="00672E85"/>
    <w:rsid w:val="006831FB"/>
    <w:rsid w:val="00693600"/>
    <w:rsid w:val="00694B36"/>
    <w:rsid w:val="00696A10"/>
    <w:rsid w:val="00696CD6"/>
    <w:rsid w:val="006A04C5"/>
    <w:rsid w:val="006A3986"/>
    <w:rsid w:val="006B2159"/>
    <w:rsid w:val="006B3B47"/>
    <w:rsid w:val="006C0A16"/>
    <w:rsid w:val="006C6039"/>
    <w:rsid w:val="006D10A7"/>
    <w:rsid w:val="006E2B43"/>
    <w:rsid w:val="006F49EA"/>
    <w:rsid w:val="00704700"/>
    <w:rsid w:val="00717164"/>
    <w:rsid w:val="00720FD6"/>
    <w:rsid w:val="007333DD"/>
    <w:rsid w:val="007463B2"/>
    <w:rsid w:val="0075080C"/>
    <w:rsid w:val="00751E0B"/>
    <w:rsid w:val="00763C48"/>
    <w:rsid w:val="00767B86"/>
    <w:rsid w:val="007709AE"/>
    <w:rsid w:val="00783939"/>
    <w:rsid w:val="007B4110"/>
    <w:rsid w:val="007B6D76"/>
    <w:rsid w:val="007B6E62"/>
    <w:rsid w:val="007C17D2"/>
    <w:rsid w:val="007C5262"/>
    <w:rsid w:val="007C7BDF"/>
    <w:rsid w:val="007D2FEE"/>
    <w:rsid w:val="007D5D87"/>
    <w:rsid w:val="00807661"/>
    <w:rsid w:val="008100EC"/>
    <w:rsid w:val="008243B1"/>
    <w:rsid w:val="008274FD"/>
    <w:rsid w:val="008277C8"/>
    <w:rsid w:val="0083351F"/>
    <w:rsid w:val="008438C3"/>
    <w:rsid w:val="00843B21"/>
    <w:rsid w:val="008446CB"/>
    <w:rsid w:val="00852E89"/>
    <w:rsid w:val="00853F5F"/>
    <w:rsid w:val="00884202"/>
    <w:rsid w:val="008845B1"/>
    <w:rsid w:val="00890A7D"/>
    <w:rsid w:val="008A3955"/>
    <w:rsid w:val="008A4E05"/>
    <w:rsid w:val="008B12C6"/>
    <w:rsid w:val="008B1E77"/>
    <w:rsid w:val="008B5E03"/>
    <w:rsid w:val="008C5167"/>
    <w:rsid w:val="008D5AAF"/>
    <w:rsid w:val="008E2885"/>
    <w:rsid w:val="008F4901"/>
    <w:rsid w:val="008F718C"/>
    <w:rsid w:val="00906CAE"/>
    <w:rsid w:val="0091701D"/>
    <w:rsid w:val="00917688"/>
    <w:rsid w:val="00926608"/>
    <w:rsid w:val="00937535"/>
    <w:rsid w:val="00942D99"/>
    <w:rsid w:val="00967095"/>
    <w:rsid w:val="00972349"/>
    <w:rsid w:val="00975668"/>
    <w:rsid w:val="00982402"/>
    <w:rsid w:val="00982EB4"/>
    <w:rsid w:val="009830C8"/>
    <w:rsid w:val="0098553B"/>
    <w:rsid w:val="00990F56"/>
    <w:rsid w:val="00995B05"/>
    <w:rsid w:val="009B1F29"/>
    <w:rsid w:val="009C0D06"/>
    <w:rsid w:val="009D0EAB"/>
    <w:rsid w:val="009D2462"/>
    <w:rsid w:val="009E11A4"/>
    <w:rsid w:val="009E2400"/>
    <w:rsid w:val="009E5B57"/>
    <w:rsid w:val="00A022BF"/>
    <w:rsid w:val="00A06820"/>
    <w:rsid w:val="00A1059E"/>
    <w:rsid w:val="00A2351B"/>
    <w:rsid w:val="00A32C9B"/>
    <w:rsid w:val="00A36F18"/>
    <w:rsid w:val="00A37CD4"/>
    <w:rsid w:val="00A409E6"/>
    <w:rsid w:val="00A5349C"/>
    <w:rsid w:val="00A552C2"/>
    <w:rsid w:val="00A71496"/>
    <w:rsid w:val="00A75007"/>
    <w:rsid w:val="00A75A26"/>
    <w:rsid w:val="00A76138"/>
    <w:rsid w:val="00A76F0C"/>
    <w:rsid w:val="00A817A7"/>
    <w:rsid w:val="00A826F7"/>
    <w:rsid w:val="00A875AD"/>
    <w:rsid w:val="00A91AD9"/>
    <w:rsid w:val="00A92186"/>
    <w:rsid w:val="00AA450B"/>
    <w:rsid w:val="00AB1BF4"/>
    <w:rsid w:val="00AB57CB"/>
    <w:rsid w:val="00AC10A9"/>
    <w:rsid w:val="00AC42DB"/>
    <w:rsid w:val="00AE233E"/>
    <w:rsid w:val="00AE28C7"/>
    <w:rsid w:val="00AF142F"/>
    <w:rsid w:val="00AF308A"/>
    <w:rsid w:val="00AF3537"/>
    <w:rsid w:val="00B13BAD"/>
    <w:rsid w:val="00B16022"/>
    <w:rsid w:val="00B174E1"/>
    <w:rsid w:val="00B20C29"/>
    <w:rsid w:val="00B303C0"/>
    <w:rsid w:val="00B42991"/>
    <w:rsid w:val="00B555DD"/>
    <w:rsid w:val="00B55882"/>
    <w:rsid w:val="00B6741F"/>
    <w:rsid w:val="00B70CF2"/>
    <w:rsid w:val="00B76FA7"/>
    <w:rsid w:val="00B77726"/>
    <w:rsid w:val="00B801B8"/>
    <w:rsid w:val="00B85E58"/>
    <w:rsid w:val="00B86C82"/>
    <w:rsid w:val="00B96FAF"/>
    <w:rsid w:val="00BA2E3C"/>
    <w:rsid w:val="00BA515B"/>
    <w:rsid w:val="00BA6A0F"/>
    <w:rsid w:val="00BB1337"/>
    <w:rsid w:val="00BC402E"/>
    <w:rsid w:val="00BD63CB"/>
    <w:rsid w:val="00BF6755"/>
    <w:rsid w:val="00C009DE"/>
    <w:rsid w:val="00C00A12"/>
    <w:rsid w:val="00C04012"/>
    <w:rsid w:val="00C053DF"/>
    <w:rsid w:val="00C26386"/>
    <w:rsid w:val="00C34238"/>
    <w:rsid w:val="00C405AA"/>
    <w:rsid w:val="00C4494C"/>
    <w:rsid w:val="00C544B4"/>
    <w:rsid w:val="00C65027"/>
    <w:rsid w:val="00C66B05"/>
    <w:rsid w:val="00C72515"/>
    <w:rsid w:val="00C7466D"/>
    <w:rsid w:val="00C81FA4"/>
    <w:rsid w:val="00C82BD4"/>
    <w:rsid w:val="00CA0945"/>
    <w:rsid w:val="00CA4FA6"/>
    <w:rsid w:val="00CB3C32"/>
    <w:rsid w:val="00CB430A"/>
    <w:rsid w:val="00CC49B4"/>
    <w:rsid w:val="00CC538F"/>
    <w:rsid w:val="00CE1F25"/>
    <w:rsid w:val="00CF29F5"/>
    <w:rsid w:val="00CF784E"/>
    <w:rsid w:val="00D039B2"/>
    <w:rsid w:val="00D05511"/>
    <w:rsid w:val="00D069ED"/>
    <w:rsid w:val="00D13CE5"/>
    <w:rsid w:val="00D14D4C"/>
    <w:rsid w:val="00D15CA8"/>
    <w:rsid w:val="00D41C62"/>
    <w:rsid w:val="00D46E17"/>
    <w:rsid w:val="00D62A79"/>
    <w:rsid w:val="00D671C9"/>
    <w:rsid w:val="00D71DD7"/>
    <w:rsid w:val="00D73DBE"/>
    <w:rsid w:val="00D748B6"/>
    <w:rsid w:val="00D82931"/>
    <w:rsid w:val="00D855E4"/>
    <w:rsid w:val="00D9525E"/>
    <w:rsid w:val="00DB58E7"/>
    <w:rsid w:val="00DD25F5"/>
    <w:rsid w:val="00DE16EF"/>
    <w:rsid w:val="00DE61EB"/>
    <w:rsid w:val="00DF2FAC"/>
    <w:rsid w:val="00DF458D"/>
    <w:rsid w:val="00DF6432"/>
    <w:rsid w:val="00DF7AF5"/>
    <w:rsid w:val="00E113D9"/>
    <w:rsid w:val="00E11FCB"/>
    <w:rsid w:val="00E139B3"/>
    <w:rsid w:val="00E208E5"/>
    <w:rsid w:val="00E22E81"/>
    <w:rsid w:val="00E24808"/>
    <w:rsid w:val="00E2570B"/>
    <w:rsid w:val="00E3100A"/>
    <w:rsid w:val="00E348D4"/>
    <w:rsid w:val="00E50EFD"/>
    <w:rsid w:val="00E8775C"/>
    <w:rsid w:val="00E91786"/>
    <w:rsid w:val="00E91F7A"/>
    <w:rsid w:val="00E92DB9"/>
    <w:rsid w:val="00E93A38"/>
    <w:rsid w:val="00E9549D"/>
    <w:rsid w:val="00E97032"/>
    <w:rsid w:val="00EA53B3"/>
    <w:rsid w:val="00EA66C4"/>
    <w:rsid w:val="00EB073D"/>
    <w:rsid w:val="00EC38E8"/>
    <w:rsid w:val="00EC6B01"/>
    <w:rsid w:val="00ED57BC"/>
    <w:rsid w:val="00ED5921"/>
    <w:rsid w:val="00EE1534"/>
    <w:rsid w:val="00EE4F26"/>
    <w:rsid w:val="00EF1EC1"/>
    <w:rsid w:val="00EF2632"/>
    <w:rsid w:val="00EF6EC7"/>
    <w:rsid w:val="00F03AEA"/>
    <w:rsid w:val="00F04FDA"/>
    <w:rsid w:val="00F07532"/>
    <w:rsid w:val="00F10327"/>
    <w:rsid w:val="00F12E4B"/>
    <w:rsid w:val="00F15944"/>
    <w:rsid w:val="00F21625"/>
    <w:rsid w:val="00F24FF1"/>
    <w:rsid w:val="00F45A06"/>
    <w:rsid w:val="00F465F8"/>
    <w:rsid w:val="00F513A7"/>
    <w:rsid w:val="00F6460D"/>
    <w:rsid w:val="00F65943"/>
    <w:rsid w:val="00F66C86"/>
    <w:rsid w:val="00F82C69"/>
    <w:rsid w:val="00F8511C"/>
    <w:rsid w:val="00F86332"/>
    <w:rsid w:val="00F93AAB"/>
    <w:rsid w:val="00F94963"/>
    <w:rsid w:val="00F94BB2"/>
    <w:rsid w:val="00F974EA"/>
    <w:rsid w:val="00FA3D64"/>
    <w:rsid w:val="00FB0E43"/>
    <w:rsid w:val="00FB78D9"/>
    <w:rsid w:val="00FD03B3"/>
    <w:rsid w:val="00FD5A2A"/>
    <w:rsid w:val="00FE1410"/>
    <w:rsid w:val="00FE3F79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3D67A"/>
  <w15:docId w15:val="{A9C420E2-FBD3-4AAB-81FB-CD40397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955"/>
    <w:pPr>
      <w:keepNext/>
      <w:keepLines/>
      <w:numPr>
        <w:numId w:val="16"/>
      </w:numPr>
      <w:spacing w:before="120" w:after="240"/>
      <w:ind w:left="180" w:hanging="18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75E27"/>
    <w:pPr>
      <w:numPr>
        <w:numId w:val="19"/>
      </w:numPr>
      <w:outlineLvl w:val="1"/>
    </w:pPr>
    <w:rPr>
      <w:snapToGrid w:val="0"/>
      <w:sz w:val="28"/>
      <w:szCs w:val="28"/>
    </w:rPr>
  </w:style>
  <w:style w:type="paragraph" w:styleId="Heading3">
    <w:name w:val="heading 3"/>
    <w:basedOn w:val="AfterHeading2"/>
    <w:next w:val="Normal"/>
    <w:link w:val="Heading3Char"/>
    <w:uiPriority w:val="9"/>
    <w:unhideWhenUsed/>
    <w:qFormat/>
    <w:rsid w:val="00632146"/>
    <w:pPr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EF2632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A7"/>
  </w:style>
  <w:style w:type="paragraph" w:styleId="Footer">
    <w:name w:val="footer"/>
    <w:basedOn w:val="Normal"/>
    <w:link w:val="Foot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EF263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rsid w:val="00EF2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632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EF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24FC"/>
    <w:rPr>
      <w:color w:val="800080" w:themeColor="followedHyperlink"/>
      <w:u w:val="single"/>
    </w:rPr>
  </w:style>
  <w:style w:type="paragraph" w:customStyle="1" w:styleId="Default">
    <w:name w:val="Default"/>
    <w:rsid w:val="003C4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4FA6"/>
  </w:style>
  <w:style w:type="character" w:styleId="UnresolvedMention">
    <w:name w:val="Unresolved Mention"/>
    <w:basedOn w:val="DefaultParagraphFont"/>
    <w:uiPriority w:val="99"/>
    <w:semiHidden/>
    <w:unhideWhenUsed/>
    <w:rsid w:val="00FE3F7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rsid w:val="00A36F18"/>
    <w:pPr>
      <w:ind w:right="-18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36F1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3955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75E2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5668"/>
    <w:pPr>
      <w:tabs>
        <w:tab w:val="left" w:pos="720"/>
        <w:tab w:val="right" w:leader="dot" w:pos="9350"/>
      </w:tabs>
      <w:spacing w:before="240" w:after="120"/>
    </w:pPr>
    <w:rPr>
      <w:b/>
      <w:bCs/>
      <w:caps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6F18"/>
    <w:pPr>
      <w:spacing w:before="240" w:after="120"/>
      <w:ind w:left="288"/>
    </w:pPr>
    <w:rPr>
      <w:rFonts w:cstheme="minorHAnsi"/>
      <w:bCs/>
      <w:sz w:val="28"/>
      <w:szCs w:val="20"/>
    </w:rPr>
  </w:style>
  <w:style w:type="paragraph" w:customStyle="1" w:styleId="AfterHeading2">
    <w:name w:val="After Heading 2"/>
    <w:basedOn w:val="Normal"/>
    <w:link w:val="AfterHeading2Char"/>
    <w:qFormat/>
    <w:rsid w:val="004C230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63214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terHeading2Char">
    <w:name w:val="After Heading 2 Char"/>
    <w:basedOn w:val="DefaultParagraphFont"/>
    <w:link w:val="AfterHeading2"/>
    <w:rsid w:val="004C2309"/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33DD"/>
    <w:pPr>
      <w:tabs>
        <w:tab w:val="right" w:leader="dot" w:pos="9350"/>
      </w:tabs>
      <w:spacing w:after="100"/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yoff.notificationcentral@twc.state.tx.u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Attachment</Document_x0020_Type>
    <Issuance_x0020_Number xmlns="b7fda351-ac92-4a7a-9697-134735b92d36">19-06</Issuance_x0020_Number>
    <Status xmlns="b7fda351-ac92-4a7a-9697-134735b92d36">Draft</Status>
    <_dlc_DocId xmlns="2e99dc07-e376-472a-bed0-c1893c0a0246">ZYW4KCRARF54-781983771-1028</_dlc_DocId>
    <_dlc_DocIdUrl xmlns="2e99dc07-e376-472a-bed0-c1893c0a0246">
      <Url>http://hs.hgac.net/wf/manuals/_layouts/15/DocIdRedir.aspx?ID=ZYW4KCRARF54-781983771-1028</Url>
      <Description>ZYW4KCRARF54-781983771-1028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08D3A-8ADA-4039-A297-619814D8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062BF-4464-4CB8-8ED0-9F1982E11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C58E8-79EC-4E81-AA9A-2CA197F50008}">
  <ds:schemaRefs>
    <ds:schemaRef ds:uri="http://schemas.microsoft.com/office/2006/metadata/properties"/>
    <ds:schemaRef ds:uri="http://schemas.microsoft.com/office/infopath/2007/PartnerControls"/>
    <ds:schemaRef ds:uri="b7fda351-ac92-4a7a-9697-134735b92d36"/>
    <ds:schemaRef ds:uri="2e99dc07-e376-472a-bed0-c1893c0a0246"/>
  </ds:schemaRefs>
</ds:datastoreItem>
</file>

<file path=customXml/itemProps4.xml><?xml version="1.0" encoding="utf-8"?>
<ds:datastoreItem xmlns:ds="http://schemas.openxmlformats.org/officeDocument/2006/customXml" ds:itemID="{DDCEC5E4-C70A-4A00-BC33-A7EEED3F90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BF99A4-9FD3-411B-A0CE-9351372D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Outplacement Standards and Guidelines</vt:lpstr>
    </vt:vector>
  </TitlesOfParts>
  <Company>Houston-Galveston Area Council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Outplacement Standards and Guidelines</dc:title>
  <dc:subject>WS 19-06 Outplacement Services Standards and Guidelines</dc:subject>
  <dc:creator>Kevin Rodney</dc:creator>
  <cp:keywords>Outplacement Standards and Guidelines</cp:keywords>
  <dc:description>Outplacement Standards and Guidelines</dc:description>
  <cp:lastModifiedBy>Nguyen, Dat</cp:lastModifiedBy>
  <cp:revision>2</cp:revision>
  <cp:lastPrinted>2019-08-07T12:26:00Z</cp:lastPrinted>
  <dcterms:created xsi:type="dcterms:W3CDTF">2019-08-07T14:14:00Z</dcterms:created>
  <dcterms:modified xsi:type="dcterms:W3CDTF">2019-08-07T14:14:00Z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c6b83612-d22a-4711-b627-e8f19b3b837a</vt:lpwstr>
  </property>
</Properties>
</file>