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F4" w:rsidRDefault="0097525C">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a:srcRect/>
                    <a:stretch>
                      <a:fillRect/>
                    </a:stretch>
                  </pic:blipFill>
                  <pic:spPr bwMode="auto">
                    <a:xfrm>
                      <a:off x="0" y="0"/>
                      <a:ext cx="2912110" cy="662940"/>
                    </a:xfrm>
                    <a:prstGeom prst="rect">
                      <a:avLst/>
                    </a:prstGeom>
                    <a:noFill/>
                    <a:ln w="9525">
                      <a:noFill/>
                      <a:miter lim="800000"/>
                      <a:headEnd/>
                      <a:tailEnd/>
                    </a:ln>
                  </pic:spPr>
                </pic:pic>
              </a:graphicData>
            </a:graphic>
          </wp:anchor>
        </w:drawing>
      </w:r>
    </w:p>
    <w:p w:rsidR="009029F4" w:rsidRDefault="009029F4"/>
    <w:p w:rsidR="009029F4" w:rsidRDefault="009029F4"/>
    <w:p w:rsidR="00F346D5" w:rsidRDefault="00F346D5"/>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F346D5" w:rsidRPr="00CC3D18" w:rsidTr="007F4154">
        <w:tc>
          <w:tcPr>
            <w:tcW w:w="2718" w:type="dxa"/>
          </w:tcPr>
          <w:p w:rsidR="00F346D5" w:rsidRPr="00CC3D18" w:rsidRDefault="00F346D5" w:rsidP="00071B65">
            <w:pPr>
              <w:jc w:val="center"/>
              <w:rPr>
                <w:b/>
              </w:rPr>
            </w:pPr>
            <w:r w:rsidRPr="00CC3D18">
              <w:rPr>
                <w:b/>
              </w:rPr>
              <w:t xml:space="preserve">WS </w:t>
            </w:r>
            <w:r w:rsidR="00071B65">
              <w:rPr>
                <w:b/>
              </w:rPr>
              <w:t>13-</w:t>
            </w:r>
            <w:r w:rsidR="00CC4CC2">
              <w:rPr>
                <w:b/>
              </w:rPr>
              <w:t>12</w:t>
            </w:r>
          </w:p>
        </w:tc>
      </w:tr>
      <w:tr w:rsidR="00F346D5" w:rsidRPr="00CC3D18" w:rsidTr="007F4154">
        <w:tc>
          <w:tcPr>
            <w:tcW w:w="2718" w:type="dxa"/>
          </w:tcPr>
          <w:p w:rsidR="00F346D5" w:rsidRPr="00CC3D18" w:rsidRDefault="00071B65" w:rsidP="00071B65">
            <w:pPr>
              <w:jc w:val="center"/>
              <w:rPr>
                <w:b/>
              </w:rPr>
            </w:pPr>
            <w:r>
              <w:rPr>
                <w:b/>
              </w:rPr>
              <w:t xml:space="preserve">March </w:t>
            </w:r>
            <w:r w:rsidR="00CC4CC2">
              <w:rPr>
                <w:b/>
              </w:rPr>
              <w:t>19</w:t>
            </w:r>
            <w:r w:rsidR="00F346D5" w:rsidRPr="00CC3D18">
              <w:rPr>
                <w:b/>
              </w:rPr>
              <w:t>, 201</w:t>
            </w:r>
            <w:r>
              <w:rPr>
                <w:b/>
              </w:rPr>
              <w:t>3</w:t>
            </w:r>
          </w:p>
        </w:tc>
      </w:tr>
      <w:tr w:rsidR="00F346D5" w:rsidRPr="00CC3D18" w:rsidTr="007F4154">
        <w:tc>
          <w:tcPr>
            <w:tcW w:w="2718" w:type="dxa"/>
          </w:tcPr>
          <w:p w:rsidR="00F346D5" w:rsidRPr="00CC3D18" w:rsidRDefault="00F346D5" w:rsidP="007F4154">
            <w:pPr>
              <w:jc w:val="center"/>
              <w:rPr>
                <w:b/>
              </w:rPr>
            </w:pPr>
            <w:r>
              <w:rPr>
                <w:b/>
              </w:rPr>
              <w:t>Financial Aid</w:t>
            </w:r>
          </w:p>
        </w:tc>
      </w:tr>
      <w:tr w:rsidR="00F346D5" w:rsidRPr="00CC3D18" w:rsidTr="007F4154">
        <w:tc>
          <w:tcPr>
            <w:tcW w:w="2718" w:type="dxa"/>
          </w:tcPr>
          <w:p w:rsidR="00F346D5" w:rsidRPr="00CC3D18" w:rsidRDefault="00F346D5" w:rsidP="007F4154">
            <w:pPr>
              <w:jc w:val="center"/>
              <w:rPr>
                <w:b/>
              </w:rPr>
            </w:pPr>
            <w:r w:rsidRPr="00CC3D18">
              <w:rPr>
                <w:b/>
              </w:rPr>
              <w:t>Expires:  Continuing</w:t>
            </w:r>
          </w:p>
        </w:tc>
      </w:tr>
    </w:tbl>
    <w:p w:rsidR="009029F4" w:rsidRPr="003C1A1D" w:rsidRDefault="009029F4">
      <w:r w:rsidRPr="003C1A1D">
        <w:t xml:space="preserve">To:  </w:t>
      </w:r>
      <w:r w:rsidRPr="003C1A1D">
        <w:tab/>
      </w:r>
      <w:r w:rsidRPr="003C1A1D">
        <w:tab/>
        <w:t>All Contractors</w:t>
      </w:r>
    </w:p>
    <w:p w:rsidR="009029F4" w:rsidRPr="003C1A1D" w:rsidRDefault="009029F4">
      <w:r w:rsidRPr="003C1A1D">
        <w:tab/>
      </w:r>
      <w:r w:rsidRPr="003C1A1D">
        <w:tab/>
      </w:r>
    </w:p>
    <w:p w:rsidR="009029F4" w:rsidRPr="003C1A1D" w:rsidRDefault="009029F4" w:rsidP="00EA5834">
      <w:pPr>
        <w:pStyle w:val="Heading1"/>
        <w:rPr>
          <w:i w:val="0"/>
        </w:rPr>
      </w:pPr>
      <w:r w:rsidRPr="003C1A1D">
        <w:rPr>
          <w:i w:val="0"/>
          <w:iCs w:val="0"/>
        </w:rPr>
        <w:t>From:</w:t>
      </w:r>
      <w:r w:rsidRPr="003C1A1D">
        <w:tab/>
      </w:r>
      <w:r w:rsidRPr="003C1A1D">
        <w:tab/>
      </w:r>
      <w:r w:rsidR="00383C9F" w:rsidRPr="003C1A1D">
        <w:rPr>
          <w:i w:val="0"/>
        </w:rPr>
        <w:t>Rodney Bradshaw</w:t>
      </w:r>
    </w:p>
    <w:p w:rsidR="00383C9F" w:rsidRPr="003C1A1D" w:rsidRDefault="00383C9F" w:rsidP="00383C9F">
      <w:r w:rsidRPr="003C1A1D">
        <w:tab/>
      </w:r>
      <w:r w:rsidRPr="003C1A1D">
        <w:tab/>
        <w:t>Mike Temple</w:t>
      </w:r>
    </w:p>
    <w:p w:rsidR="00383C9F" w:rsidRPr="003C1A1D" w:rsidRDefault="00383C9F" w:rsidP="00383C9F">
      <w:r w:rsidRPr="003C1A1D">
        <w:tab/>
      </w:r>
      <w:r w:rsidRPr="003C1A1D">
        <w:tab/>
        <w:t>Lucretia Hammond</w:t>
      </w:r>
    </w:p>
    <w:p w:rsidR="009029F4" w:rsidRPr="003C1A1D" w:rsidRDefault="009029F4"/>
    <w:p w:rsidR="009029F4" w:rsidRPr="003C1A1D" w:rsidRDefault="009029F4" w:rsidP="0049061B">
      <w:pPr>
        <w:pStyle w:val="Heading7"/>
        <w:pBdr>
          <w:bottom w:val="single" w:sz="4" w:space="4" w:color="auto"/>
        </w:pBdr>
        <w:tabs>
          <w:tab w:val="left" w:pos="1440"/>
        </w:tabs>
        <w:ind w:left="1440" w:hanging="1440"/>
        <w:rPr>
          <w:sz w:val="48"/>
          <w:szCs w:val="48"/>
        </w:rPr>
      </w:pPr>
      <w:r w:rsidRPr="003C1A1D">
        <w:t>Subject:</w:t>
      </w:r>
      <w:r w:rsidRPr="003C1A1D">
        <w:tab/>
      </w:r>
      <w:bookmarkStart w:id="0" w:name="OLE_LINK1"/>
      <w:bookmarkStart w:id="1" w:name="OLE_LINK2"/>
      <w:bookmarkStart w:id="2" w:name="OLE_LINK3"/>
      <w:r w:rsidR="00BC30A1">
        <w:t>Managing Financial Aid/Continued Funding</w:t>
      </w:r>
      <w:bookmarkEnd w:id="0"/>
      <w:bookmarkEnd w:id="1"/>
      <w:bookmarkEnd w:id="2"/>
      <w:r w:rsidR="00BC30A1">
        <w:t xml:space="preserve"> </w:t>
      </w:r>
    </w:p>
    <w:p w:rsidR="009029F4" w:rsidRPr="003C1A1D" w:rsidRDefault="009029F4" w:rsidP="00964DAB">
      <w:pPr>
        <w:autoSpaceDE w:val="0"/>
        <w:autoSpaceDN w:val="0"/>
        <w:adjustRightInd w:val="0"/>
      </w:pPr>
    </w:p>
    <w:p w:rsidR="009029F4" w:rsidRPr="003C1A1D" w:rsidRDefault="009029F4" w:rsidP="00A77CEE">
      <w:pPr>
        <w:autoSpaceDE w:val="0"/>
        <w:autoSpaceDN w:val="0"/>
        <w:adjustRightInd w:val="0"/>
        <w:spacing w:after="60"/>
        <w:rPr>
          <w:sz w:val="36"/>
          <w:szCs w:val="36"/>
        </w:rPr>
      </w:pPr>
      <w:r w:rsidRPr="003C1A1D">
        <w:rPr>
          <w:sz w:val="36"/>
          <w:szCs w:val="36"/>
        </w:rPr>
        <w:t>Purpose</w:t>
      </w:r>
    </w:p>
    <w:p w:rsidR="00515D8B" w:rsidRDefault="009166AF" w:rsidP="00673CFA">
      <w:r>
        <w:t xml:space="preserve">Clarify </w:t>
      </w:r>
      <w:r w:rsidR="00A201CF">
        <w:t xml:space="preserve">rules for </w:t>
      </w:r>
      <w:r w:rsidR="00BC30A1">
        <w:t>continued</w:t>
      </w:r>
      <w:r w:rsidR="00A201CF">
        <w:t xml:space="preserve"> financial aid to a customer as she/he moves through </w:t>
      </w:r>
      <w:r w:rsidR="00BC30A1">
        <w:t>her/his employment plan</w:t>
      </w:r>
      <w:r w:rsidR="002B4E4E">
        <w:t xml:space="preserve"> (see attached chart)</w:t>
      </w:r>
      <w:r w:rsidR="00A201CF">
        <w:t xml:space="preserve">  </w:t>
      </w:r>
    </w:p>
    <w:p w:rsidR="00AE17A8" w:rsidRDefault="00AE17A8" w:rsidP="00AE17A8"/>
    <w:p w:rsidR="00E66F07" w:rsidRDefault="0011347F" w:rsidP="00AE17A8">
      <w:r>
        <w:t xml:space="preserve">This Issuance replaces </w:t>
      </w:r>
      <w:proofErr w:type="gramStart"/>
      <w:r>
        <w:t xml:space="preserve">11-25 </w:t>
      </w:r>
      <w:r w:rsidR="00980837">
        <w:t>Financial Aid/Continued Funding</w:t>
      </w:r>
      <w:proofErr w:type="gramEnd"/>
    </w:p>
    <w:p w:rsidR="0011347F" w:rsidRDefault="0011347F" w:rsidP="00AE17A8"/>
    <w:p w:rsidR="009029F4" w:rsidRPr="003C1A1D" w:rsidRDefault="009029F4" w:rsidP="00A77CEE">
      <w:pPr>
        <w:autoSpaceDE w:val="0"/>
        <w:autoSpaceDN w:val="0"/>
        <w:adjustRightInd w:val="0"/>
        <w:spacing w:after="60"/>
        <w:rPr>
          <w:sz w:val="36"/>
          <w:szCs w:val="36"/>
        </w:rPr>
      </w:pPr>
      <w:r w:rsidRPr="003C1A1D">
        <w:rPr>
          <w:sz w:val="36"/>
          <w:szCs w:val="36"/>
        </w:rPr>
        <w:t>Background</w:t>
      </w:r>
    </w:p>
    <w:p w:rsidR="00BC30A1" w:rsidRDefault="00CD4311" w:rsidP="001938CD">
      <w:pPr>
        <w:autoSpaceDE w:val="0"/>
        <w:autoSpaceDN w:val="0"/>
        <w:adjustRightInd w:val="0"/>
      </w:pPr>
      <w:r>
        <w:t xml:space="preserve">We want to be sure that </w:t>
      </w:r>
      <w:r w:rsidR="00DB2762">
        <w:t xml:space="preserve">customers use </w:t>
      </w:r>
      <w:r w:rsidR="00BC30A1">
        <w:t>our</w:t>
      </w:r>
      <w:r w:rsidR="00DB2762">
        <w:t xml:space="preserve"> financial aid to meet the goals they agreed to in their individual employment plans.  </w:t>
      </w:r>
    </w:p>
    <w:p w:rsidR="00BC30A1" w:rsidRDefault="00BC30A1" w:rsidP="001938CD">
      <w:pPr>
        <w:autoSpaceDE w:val="0"/>
        <w:autoSpaceDN w:val="0"/>
        <w:adjustRightInd w:val="0"/>
      </w:pPr>
    </w:p>
    <w:p w:rsidR="00C21F31" w:rsidRDefault="00DB2762" w:rsidP="001938CD">
      <w:pPr>
        <w:autoSpaceDE w:val="0"/>
        <w:autoSpaceDN w:val="0"/>
        <w:adjustRightInd w:val="0"/>
      </w:pPr>
      <w:r>
        <w:t xml:space="preserve">We do not want to continue funds to </w:t>
      </w:r>
      <w:r w:rsidR="005A36E0">
        <w:t>customers</w:t>
      </w:r>
      <w:r>
        <w:t xml:space="preserve"> who are not making acceptable progress i</w:t>
      </w:r>
      <w:r w:rsidR="00BC30A1">
        <w:t>n meeting those</w:t>
      </w:r>
      <w:r>
        <w:t xml:space="preserve"> goals or who have not made good use of financial aid they have received. </w:t>
      </w:r>
    </w:p>
    <w:p w:rsidR="00C21F31" w:rsidRDefault="00C21F31" w:rsidP="001938CD">
      <w:pPr>
        <w:autoSpaceDE w:val="0"/>
        <w:autoSpaceDN w:val="0"/>
        <w:adjustRightInd w:val="0"/>
      </w:pPr>
    </w:p>
    <w:p w:rsidR="00BC30A1" w:rsidRDefault="00BC30A1" w:rsidP="001938CD">
      <w:pPr>
        <w:autoSpaceDE w:val="0"/>
        <w:autoSpaceDN w:val="0"/>
        <w:adjustRightInd w:val="0"/>
      </w:pPr>
    </w:p>
    <w:p w:rsidR="001938CD" w:rsidRDefault="00721E4D" w:rsidP="00BC30A1">
      <w:pPr>
        <w:autoSpaceDE w:val="0"/>
        <w:autoSpaceDN w:val="0"/>
        <w:adjustRightInd w:val="0"/>
        <w:rPr>
          <w:sz w:val="36"/>
          <w:szCs w:val="36"/>
        </w:rPr>
      </w:pPr>
      <w:r>
        <w:rPr>
          <w:sz w:val="36"/>
          <w:szCs w:val="36"/>
        </w:rPr>
        <w:t>Scholarships</w:t>
      </w:r>
      <w:r w:rsidR="001B0BDD">
        <w:rPr>
          <w:sz w:val="36"/>
          <w:szCs w:val="36"/>
        </w:rPr>
        <w:t xml:space="preserve"> </w:t>
      </w:r>
    </w:p>
    <w:p w:rsidR="00015EA7" w:rsidRDefault="00015EA7" w:rsidP="00FA7C07">
      <w:pPr>
        <w:autoSpaceDE w:val="0"/>
        <w:autoSpaceDN w:val="0"/>
        <w:adjustRightInd w:val="0"/>
      </w:pPr>
      <w:r>
        <w:t xml:space="preserve">Although we </w:t>
      </w:r>
      <w:r w:rsidRPr="005A36E0">
        <w:rPr>
          <w:i/>
        </w:rPr>
        <w:t>reserve</w:t>
      </w:r>
      <w:r>
        <w:t xml:space="preserve"> money for a scholarship through the expected course of a customer’s training, we </w:t>
      </w:r>
      <w:r w:rsidRPr="005A36E0">
        <w:rPr>
          <w:i/>
        </w:rPr>
        <w:t>fund</w:t>
      </w:r>
      <w:r>
        <w:t xml:space="preserve"> a scholarship </w:t>
      </w:r>
      <w:r w:rsidR="00FA7C07">
        <w:t>by semester, quarter or other unit.</w:t>
      </w:r>
    </w:p>
    <w:p w:rsidR="00FA7C07" w:rsidRDefault="00FA7C07" w:rsidP="00FA7C07">
      <w:pPr>
        <w:pStyle w:val="ListParagraph"/>
        <w:autoSpaceDE w:val="0"/>
        <w:autoSpaceDN w:val="0"/>
        <w:adjustRightInd w:val="0"/>
        <w:spacing w:before="0" w:after="0"/>
        <w:ind w:right="1170"/>
      </w:pPr>
    </w:p>
    <w:p w:rsidR="001B0BDD" w:rsidRDefault="001B0BDD" w:rsidP="00FA7C07">
      <w:pPr>
        <w:pStyle w:val="ListParagraph"/>
        <w:autoSpaceDE w:val="0"/>
        <w:autoSpaceDN w:val="0"/>
        <w:adjustRightInd w:val="0"/>
        <w:spacing w:before="0" w:after="0"/>
        <w:ind w:left="0" w:right="0"/>
      </w:pPr>
      <w:r>
        <w:t>Workforce Solutions’ scholarships include tuition/fees, books, supplies and other related education support expenses as described in our financial aid issuances and manual. We fund transportation expenses and child care expenses for customers who are going to school in addition to the scholarship.  [See Issuance 1</w:t>
      </w:r>
      <w:r w:rsidR="00455CF8">
        <w:t>3-06</w:t>
      </w:r>
      <w:r>
        <w:t>]</w:t>
      </w:r>
    </w:p>
    <w:p w:rsidR="00FA7C07" w:rsidRDefault="00FA7C07" w:rsidP="00FA7C07">
      <w:pPr>
        <w:autoSpaceDE w:val="0"/>
        <w:autoSpaceDN w:val="0"/>
        <w:adjustRightInd w:val="0"/>
      </w:pPr>
    </w:p>
    <w:p w:rsidR="00FA7C07" w:rsidRDefault="00015EA7" w:rsidP="00FA7C07">
      <w:pPr>
        <w:numPr>
          <w:ilvl w:val="0"/>
          <w:numId w:val="18"/>
        </w:numPr>
        <w:autoSpaceDE w:val="0"/>
        <w:autoSpaceDN w:val="0"/>
        <w:adjustRightInd w:val="0"/>
        <w:ind w:right="720"/>
      </w:pPr>
      <w:r>
        <w:t>We do not guarantee a customer continued funding through his or her expected course</w:t>
      </w:r>
      <w:r w:rsidR="001B0BDD">
        <w:t xml:space="preserve"> of training</w:t>
      </w:r>
      <w:r>
        <w:t xml:space="preserve">.  </w:t>
      </w:r>
    </w:p>
    <w:p w:rsidR="00FA7C07" w:rsidRDefault="00FA7C07" w:rsidP="00FA7C07">
      <w:pPr>
        <w:autoSpaceDE w:val="0"/>
        <w:autoSpaceDN w:val="0"/>
        <w:adjustRightInd w:val="0"/>
        <w:ind w:left="360" w:right="720"/>
      </w:pPr>
    </w:p>
    <w:p w:rsidR="00FA7C07" w:rsidRDefault="00015EA7" w:rsidP="00FA7C07">
      <w:pPr>
        <w:numPr>
          <w:ilvl w:val="0"/>
          <w:numId w:val="18"/>
        </w:numPr>
        <w:autoSpaceDE w:val="0"/>
        <w:autoSpaceDN w:val="0"/>
        <w:adjustRightInd w:val="0"/>
        <w:ind w:right="720"/>
      </w:pPr>
      <w:r>
        <w:t>We evaluate continued funding at the beginning of each segment of a customer’s training</w:t>
      </w:r>
      <w:r w:rsidR="00A35CB4">
        <w:t>, such as a semester or quarter.</w:t>
      </w:r>
      <w:r w:rsidR="009D246F">
        <w:t xml:space="preserve">  </w:t>
      </w:r>
    </w:p>
    <w:p w:rsidR="00FA7C07" w:rsidRDefault="00FA7C07" w:rsidP="00FA7C07">
      <w:pPr>
        <w:pStyle w:val="ListParagraph"/>
      </w:pPr>
    </w:p>
    <w:p w:rsidR="00A35CB4" w:rsidRDefault="00870F9F" w:rsidP="00FA7C07">
      <w:pPr>
        <w:numPr>
          <w:ilvl w:val="0"/>
          <w:numId w:val="18"/>
        </w:numPr>
        <w:autoSpaceDE w:val="0"/>
        <w:autoSpaceDN w:val="0"/>
        <w:adjustRightInd w:val="0"/>
        <w:ind w:right="720"/>
      </w:pPr>
      <w:r>
        <w:t>To continue funding a scholarship and related transportation and child care expenses, we must have money available and the customer must have</w:t>
      </w:r>
      <w:r w:rsidR="009D246F">
        <w:t>:</w:t>
      </w:r>
    </w:p>
    <w:p w:rsidR="00870F9F" w:rsidRDefault="00870F9F" w:rsidP="00BC30A1">
      <w:pPr>
        <w:autoSpaceDE w:val="0"/>
        <w:autoSpaceDN w:val="0"/>
        <w:adjustRightInd w:val="0"/>
      </w:pPr>
    </w:p>
    <w:p w:rsidR="00870F9F" w:rsidRDefault="00B825FD" w:rsidP="00FA7C07">
      <w:pPr>
        <w:pStyle w:val="ListParagraph"/>
        <w:numPr>
          <w:ilvl w:val="0"/>
          <w:numId w:val="2"/>
        </w:numPr>
        <w:autoSpaceDE w:val="0"/>
        <w:autoSpaceDN w:val="0"/>
        <w:adjustRightInd w:val="0"/>
        <w:spacing w:before="0" w:after="0"/>
        <w:ind w:left="1800"/>
      </w:pPr>
      <w:r>
        <w:t>Reported to us as required</w:t>
      </w:r>
      <w:r w:rsidR="00870F9F">
        <w:t>;</w:t>
      </w:r>
    </w:p>
    <w:p w:rsidR="00870F9F" w:rsidRDefault="00870F9F" w:rsidP="00FA7C07">
      <w:pPr>
        <w:pStyle w:val="ListParagraph"/>
        <w:numPr>
          <w:ilvl w:val="0"/>
          <w:numId w:val="2"/>
        </w:numPr>
        <w:autoSpaceDE w:val="0"/>
        <w:autoSpaceDN w:val="0"/>
        <w:adjustRightInd w:val="0"/>
        <w:spacing w:before="0" w:after="0"/>
        <w:ind w:left="1800"/>
      </w:pPr>
      <w:r>
        <w:t>Maintained grades/made progress in training; and</w:t>
      </w:r>
    </w:p>
    <w:p w:rsidR="00870F9F" w:rsidRDefault="00870F9F" w:rsidP="00FA7C07">
      <w:pPr>
        <w:pStyle w:val="ListParagraph"/>
        <w:numPr>
          <w:ilvl w:val="0"/>
          <w:numId w:val="2"/>
        </w:numPr>
        <w:autoSpaceDE w:val="0"/>
        <w:autoSpaceDN w:val="0"/>
        <w:adjustRightInd w:val="0"/>
        <w:spacing w:before="0" w:after="0"/>
        <w:ind w:left="1800"/>
      </w:pPr>
      <w:r>
        <w:t>Limited changes in courses of training.</w:t>
      </w:r>
    </w:p>
    <w:p w:rsidR="00015EA7" w:rsidRDefault="00015EA7" w:rsidP="00BC30A1">
      <w:pPr>
        <w:autoSpaceDE w:val="0"/>
        <w:autoSpaceDN w:val="0"/>
        <w:adjustRightInd w:val="0"/>
      </w:pPr>
    </w:p>
    <w:p w:rsidR="00870F9F" w:rsidRDefault="003A2CBC" w:rsidP="00BC30A1">
      <w:pPr>
        <w:autoSpaceDE w:val="0"/>
        <w:autoSpaceDN w:val="0"/>
        <w:adjustRightInd w:val="0"/>
      </w:pPr>
      <w:r>
        <w:t>The Customer Requirements for Continued Scholarship Funding chart attached to this issuance provides detailed information a</w:t>
      </w:r>
      <w:r w:rsidR="005B2D04">
        <w:t>bout each of these requirements and staff procedures.</w:t>
      </w:r>
    </w:p>
    <w:p w:rsidR="00870F9F" w:rsidRDefault="00870F9F" w:rsidP="00BC30A1">
      <w:pPr>
        <w:autoSpaceDE w:val="0"/>
        <w:autoSpaceDN w:val="0"/>
        <w:adjustRightInd w:val="0"/>
      </w:pPr>
    </w:p>
    <w:p w:rsidR="003A2CBC" w:rsidRDefault="003A2CBC" w:rsidP="00BC30A1">
      <w:pPr>
        <w:autoSpaceDE w:val="0"/>
        <w:autoSpaceDN w:val="0"/>
        <w:adjustRightInd w:val="0"/>
      </w:pPr>
    </w:p>
    <w:p w:rsidR="003A2CBC" w:rsidRDefault="00E04CA4" w:rsidP="00BC30A1">
      <w:pPr>
        <w:autoSpaceDE w:val="0"/>
        <w:autoSpaceDN w:val="0"/>
        <w:adjustRightInd w:val="0"/>
        <w:rPr>
          <w:sz w:val="36"/>
          <w:szCs w:val="36"/>
        </w:rPr>
      </w:pPr>
      <w:r>
        <w:rPr>
          <w:sz w:val="36"/>
          <w:szCs w:val="36"/>
        </w:rPr>
        <w:t>Products or Services</w:t>
      </w:r>
    </w:p>
    <w:p w:rsidR="005B2D04" w:rsidRDefault="005B2D04" w:rsidP="00FA7C07">
      <w:pPr>
        <w:numPr>
          <w:ilvl w:val="0"/>
          <w:numId w:val="19"/>
        </w:numPr>
        <w:autoSpaceDE w:val="0"/>
        <w:autoSpaceDN w:val="0"/>
        <w:adjustRightInd w:val="0"/>
      </w:pPr>
      <w:r>
        <w:t>We limit the purchase of the same product or service for education, work search or work support.</w:t>
      </w:r>
    </w:p>
    <w:p w:rsidR="005B2D04" w:rsidRDefault="005B2D04" w:rsidP="00BC30A1">
      <w:pPr>
        <w:autoSpaceDE w:val="0"/>
        <w:autoSpaceDN w:val="0"/>
        <w:adjustRightInd w:val="0"/>
      </w:pPr>
    </w:p>
    <w:p w:rsidR="005B2D04" w:rsidRDefault="005B2D04" w:rsidP="00FA7C07">
      <w:pPr>
        <w:numPr>
          <w:ilvl w:val="0"/>
          <w:numId w:val="19"/>
        </w:numPr>
        <w:autoSpaceDE w:val="0"/>
        <w:autoSpaceDN w:val="0"/>
        <w:adjustRightInd w:val="0"/>
      </w:pPr>
      <w:r>
        <w:t>Generally the dollar limits on financial aid by category and type [Issuance 1</w:t>
      </w:r>
      <w:r w:rsidR="009E56CB">
        <w:t>3-06</w:t>
      </w:r>
      <w:r>
        <w:t>] provide acceptable guidance.</w:t>
      </w:r>
    </w:p>
    <w:p w:rsidR="005B2D04" w:rsidRDefault="005B2D04" w:rsidP="00BC30A1">
      <w:pPr>
        <w:autoSpaceDE w:val="0"/>
        <w:autoSpaceDN w:val="0"/>
        <w:adjustRightInd w:val="0"/>
      </w:pPr>
    </w:p>
    <w:p w:rsidR="005B2D04" w:rsidRDefault="005B2D04" w:rsidP="00FA7C07">
      <w:pPr>
        <w:numPr>
          <w:ilvl w:val="0"/>
          <w:numId w:val="19"/>
        </w:numPr>
        <w:autoSpaceDE w:val="0"/>
        <w:autoSpaceDN w:val="0"/>
        <w:adjustRightInd w:val="0"/>
      </w:pPr>
      <w:r>
        <w:t>If a customer has not reached the limit in a particular category, but asks us to pay for a product or service we have already purchased for him or her, staff must document the reasons why the customer needs the product or service again.</w:t>
      </w:r>
    </w:p>
    <w:p w:rsidR="003A2CBC" w:rsidRDefault="005B2D04" w:rsidP="00FA7C07">
      <w:pPr>
        <w:pStyle w:val="ListParagraph"/>
        <w:numPr>
          <w:ilvl w:val="0"/>
          <w:numId w:val="20"/>
        </w:numPr>
        <w:autoSpaceDE w:val="0"/>
        <w:autoSpaceDN w:val="0"/>
        <w:adjustRightInd w:val="0"/>
        <w:ind w:right="900"/>
      </w:pPr>
      <w:r>
        <w:t>If the customer says the product was stolen, he/she must provide us with a copy of a police report or insurance claim to substantiate the theft.</w:t>
      </w:r>
    </w:p>
    <w:p w:rsidR="005B2D04" w:rsidRDefault="005B2D04" w:rsidP="00FA7C07">
      <w:pPr>
        <w:numPr>
          <w:ilvl w:val="0"/>
          <w:numId w:val="20"/>
        </w:numPr>
        <w:autoSpaceDE w:val="0"/>
        <w:autoSpaceDN w:val="0"/>
        <w:adjustRightInd w:val="0"/>
      </w:pPr>
      <w:r>
        <w:t>If the customer cannot provide a good explanation, staff will deny the request for additional financial aid to purchase the same product or service again.</w:t>
      </w:r>
    </w:p>
    <w:p w:rsidR="009D246F" w:rsidRDefault="009D246F" w:rsidP="005B2D04">
      <w:pPr>
        <w:autoSpaceDE w:val="0"/>
        <w:autoSpaceDN w:val="0"/>
        <w:adjustRightInd w:val="0"/>
      </w:pPr>
    </w:p>
    <w:p w:rsidR="005B2D04" w:rsidRDefault="005B2D04" w:rsidP="00FA7C07">
      <w:pPr>
        <w:pStyle w:val="ListParagraph"/>
        <w:numPr>
          <w:ilvl w:val="0"/>
          <w:numId w:val="20"/>
        </w:numPr>
        <w:autoSpaceDE w:val="0"/>
        <w:autoSpaceDN w:val="0"/>
        <w:adjustRightInd w:val="0"/>
        <w:spacing w:before="0" w:after="0"/>
      </w:pPr>
      <w:r>
        <w:t>Staff will document the request for repurchase of a product or service, the customer’s explanation, and the staff determination in a counselor note.</w:t>
      </w:r>
    </w:p>
    <w:p w:rsidR="005B2D04" w:rsidRDefault="005B2D04" w:rsidP="009D246F"/>
    <w:p w:rsidR="009D246F" w:rsidRDefault="009D246F" w:rsidP="009D246F"/>
    <w:p w:rsidR="009D246F" w:rsidRDefault="009D246F" w:rsidP="009D246F">
      <w:pPr>
        <w:autoSpaceDE w:val="0"/>
        <w:autoSpaceDN w:val="0"/>
        <w:adjustRightInd w:val="0"/>
        <w:rPr>
          <w:sz w:val="36"/>
          <w:szCs w:val="36"/>
        </w:rPr>
      </w:pPr>
      <w:r>
        <w:rPr>
          <w:sz w:val="36"/>
          <w:szCs w:val="36"/>
        </w:rPr>
        <w:t>Action</w:t>
      </w:r>
    </w:p>
    <w:p w:rsidR="009D246F" w:rsidRDefault="009D246F" w:rsidP="001D317E">
      <w:pPr>
        <w:numPr>
          <w:ilvl w:val="0"/>
          <w:numId w:val="16"/>
        </w:numPr>
        <w:autoSpaceDE w:val="0"/>
        <w:autoSpaceDN w:val="0"/>
        <w:adjustRightInd w:val="0"/>
      </w:pPr>
      <w:r>
        <w:t>Make sure staff</w:t>
      </w:r>
      <w:r w:rsidR="00490C0C">
        <w:t xml:space="preserve"> is</w:t>
      </w:r>
      <w:r w:rsidR="008E6327">
        <w:t xml:space="preserve"> aware </w:t>
      </w:r>
      <w:r>
        <w:t>of</w:t>
      </w:r>
      <w:r w:rsidR="008E6327">
        <w:t xml:space="preserve"> and use</w:t>
      </w:r>
      <w:r>
        <w:t xml:space="preserve"> the new rules for </w:t>
      </w:r>
      <w:r w:rsidR="008E6327">
        <w:t>continued</w:t>
      </w:r>
      <w:r>
        <w:t xml:space="preserve"> financial aid </w:t>
      </w:r>
    </w:p>
    <w:p w:rsidR="004401CF" w:rsidRDefault="002A518C" w:rsidP="001D317E">
      <w:pPr>
        <w:numPr>
          <w:ilvl w:val="0"/>
          <w:numId w:val="16"/>
        </w:numPr>
        <w:autoSpaceDE w:val="0"/>
        <w:autoSpaceDN w:val="0"/>
        <w:adjustRightInd w:val="0"/>
      </w:pPr>
      <w:r>
        <w:t xml:space="preserve">Personal Service Representatives must visit with customers </w:t>
      </w:r>
      <w:r w:rsidR="0004207A">
        <w:t>to assure returning customer’s</w:t>
      </w:r>
      <w:r w:rsidR="004401CF">
        <w:t xml:space="preserve"> meet all the requirements for continued funding. </w:t>
      </w:r>
    </w:p>
    <w:p w:rsidR="002A518C" w:rsidRDefault="004401CF" w:rsidP="001D317E">
      <w:pPr>
        <w:numPr>
          <w:ilvl w:val="0"/>
          <w:numId w:val="16"/>
        </w:numPr>
        <w:autoSpaceDE w:val="0"/>
        <w:autoSpaceDN w:val="0"/>
        <w:adjustRightInd w:val="0"/>
      </w:pPr>
      <w:r>
        <w:t xml:space="preserve">Personal Service Representatives must document the customer reported as required, maintained her grades and met the course change requirements.  </w:t>
      </w:r>
      <w:r w:rsidR="0004207A">
        <w:t xml:space="preserve">  </w:t>
      </w:r>
    </w:p>
    <w:p w:rsidR="001D317E" w:rsidRDefault="000977D0" w:rsidP="001D317E">
      <w:pPr>
        <w:numPr>
          <w:ilvl w:val="0"/>
          <w:numId w:val="16"/>
        </w:numPr>
        <w:autoSpaceDE w:val="0"/>
        <w:autoSpaceDN w:val="0"/>
        <w:adjustRightInd w:val="0"/>
      </w:pPr>
      <w:r>
        <w:t>Before allowing continued funding, call</w:t>
      </w:r>
      <w:r w:rsidR="001D317E">
        <w:t xml:space="preserve"> center </w:t>
      </w:r>
      <w:r>
        <w:t xml:space="preserve">staff </w:t>
      </w:r>
      <w:r w:rsidR="001D317E">
        <w:t xml:space="preserve">must check </w:t>
      </w:r>
      <w:r w:rsidR="004401CF">
        <w:t xml:space="preserve">customer files </w:t>
      </w:r>
      <w:r w:rsidR="001D317E">
        <w:t>for grades</w:t>
      </w:r>
      <w:r w:rsidR="004401CF">
        <w:t xml:space="preserve"> and counselor notes showing the customer meets requirements for continued funding. </w:t>
      </w:r>
      <w:r w:rsidR="001D317E">
        <w:t xml:space="preserve">  </w:t>
      </w:r>
    </w:p>
    <w:p w:rsidR="009D246F" w:rsidRDefault="001D317E" w:rsidP="009D246F">
      <w:pPr>
        <w:numPr>
          <w:ilvl w:val="0"/>
          <w:numId w:val="16"/>
        </w:numPr>
        <w:autoSpaceDE w:val="0"/>
        <w:autoSpaceDN w:val="0"/>
        <w:adjustRightInd w:val="0"/>
      </w:pPr>
      <w:r>
        <w:t xml:space="preserve">Call center staff must </w:t>
      </w:r>
      <w:r w:rsidR="000977D0">
        <w:t xml:space="preserve">send a denial letter to any customer who does not meet </w:t>
      </w:r>
      <w:proofErr w:type="gramStart"/>
      <w:r w:rsidR="000977D0">
        <w:t xml:space="preserve">the </w:t>
      </w:r>
      <w:r>
        <w:t xml:space="preserve"> standards</w:t>
      </w:r>
      <w:proofErr w:type="gramEnd"/>
      <w:r>
        <w:t xml:space="preserve"> in this Issuance. </w:t>
      </w:r>
    </w:p>
    <w:p w:rsidR="009D246F" w:rsidRDefault="009D246F" w:rsidP="009D246F">
      <w:pPr>
        <w:autoSpaceDE w:val="0"/>
        <w:autoSpaceDN w:val="0"/>
        <w:adjustRightInd w:val="0"/>
      </w:pPr>
    </w:p>
    <w:p w:rsidR="009D246F" w:rsidRDefault="009D246F" w:rsidP="009D246F">
      <w:pPr>
        <w:autoSpaceDE w:val="0"/>
        <w:autoSpaceDN w:val="0"/>
        <w:adjustRightInd w:val="0"/>
        <w:rPr>
          <w:sz w:val="36"/>
          <w:szCs w:val="36"/>
        </w:rPr>
      </w:pPr>
      <w:r>
        <w:rPr>
          <w:sz w:val="36"/>
          <w:szCs w:val="36"/>
        </w:rPr>
        <w:lastRenderedPageBreak/>
        <w:t>Questions</w:t>
      </w:r>
    </w:p>
    <w:p w:rsidR="009D246F" w:rsidRDefault="009D246F" w:rsidP="009D246F">
      <w:pPr>
        <w:autoSpaceDE w:val="0"/>
        <w:autoSpaceDN w:val="0"/>
        <w:adjustRightInd w:val="0"/>
      </w:pPr>
      <w:r>
        <w:t xml:space="preserve">Staff should ask questions of their supervisors first.  Direct questions for Board staff through the </w:t>
      </w:r>
      <w:hyperlink r:id="rId9" w:tgtFrame="_blank" w:history="1">
        <w:r w:rsidRPr="00194888">
          <w:rPr>
            <w:rStyle w:val="Hyperlink"/>
          </w:rPr>
          <w:t xml:space="preserve">Issuance </w:t>
        </w:r>
      </w:hyperlink>
      <w:r>
        <w:t xml:space="preserve">Q&amp;A. </w:t>
      </w:r>
    </w:p>
    <w:p w:rsidR="003A2CBC" w:rsidRDefault="003A2CBC" w:rsidP="00BC30A1">
      <w:pPr>
        <w:autoSpaceDE w:val="0"/>
        <w:autoSpaceDN w:val="0"/>
        <w:adjustRightInd w:val="0"/>
      </w:pPr>
    </w:p>
    <w:p w:rsidR="009D246F" w:rsidRDefault="009D246F" w:rsidP="00BC30A1">
      <w:pPr>
        <w:autoSpaceDE w:val="0"/>
        <w:autoSpaceDN w:val="0"/>
        <w:adjustRightInd w:val="0"/>
      </w:pPr>
    </w:p>
    <w:p w:rsidR="009D246F" w:rsidRPr="00C52A58" w:rsidRDefault="00C52A58" w:rsidP="00BC30A1">
      <w:pPr>
        <w:autoSpaceDE w:val="0"/>
        <w:autoSpaceDN w:val="0"/>
        <w:adjustRightInd w:val="0"/>
        <w:rPr>
          <w:sz w:val="36"/>
          <w:szCs w:val="36"/>
        </w:rPr>
      </w:pPr>
      <w:r w:rsidRPr="00C52A58">
        <w:rPr>
          <w:sz w:val="36"/>
          <w:szCs w:val="36"/>
        </w:rPr>
        <w:t>Attachments</w:t>
      </w:r>
    </w:p>
    <w:p w:rsidR="009D246F" w:rsidRDefault="00C52A58" w:rsidP="00BC30A1">
      <w:pPr>
        <w:autoSpaceDE w:val="0"/>
        <w:autoSpaceDN w:val="0"/>
        <w:adjustRightInd w:val="0"/>
      </w:pPr>
      <w:r>
        <w:t>Workforce Solutions Customer Requirements for Continued Scholarship Funding</w:t>
      </w:r>
    </w:p>
    <w:p w:rsidR="009D246F" w:rsidRDefault="0049520C" w:rsidP="00BC30A1">
      <w:pPr>
        <w:autoSpaceDE w:val="0"/>
        <w:autoSpaceDN w:val="0"/>
        <w:adjustRightInd w:val="0"/>
      </w:pPr>
      <w:r>
        <w:t>Revised Financial Aid Award Letter</w:t>
      </w:r>
    </w:p>
    <w:p w:rsidR="009D246F" w:rsidRDefault="009D246F" w:rsidP="00BC30A1">
      <w:pPr>
        <w:autoSpaceDE w:val="0"/>
        <w:autoSpaceDN w:val="0"/>
        <w:adjustRightInd w:val="0"/>
        <w:sectPr w:rsidR="009D246F" w:rsidSect="003A2C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870F9F" w:rsidRDefault="00870F9F" w:rsidP="00BC30A1">
      <w:pPr>
        <w:autoSpaceDE w:val="0"/>
        <w:autoSpaceDN w:val="0"/>
        <w:adjustRightInd w:val="0"/>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140"/>
        <w:gridCol w:w="3510"/>
        <w:gridCol w:w="3780"/>
      </w:tblGrid>
      <w:tr w:rsidR="00721E4D" w:rsidRPr="00721E4D" w:rsidTr="00FE42C2">
        <w:trPr>
          <w:tblHeader/>
        </w:trPr>
        <w:tc>
          <w:tcPr>
            <w:tcW w:w="13248" w:type="dxa"/>
            <w:gridSpan w:val="4"/>
            <w:shd w:val="clear" w:color="auto" w:fill="1D1B11"/>
          </w:tcPr>
          <w:p w:rsidR="00721E4D" w:rsidRPr="00FE42C2" w:rsidRDefault="00721E4D" w:rsidP="00FE42C2">
            <w:pPr>
              <w:autoSpaceDE w:val="0"/>
              <w:autoSpaceDN w:val="0"/>
              <w:adjustRightInd w:val="0"/>
              <w:jc w:val="center"/>
              <w:rPr>
                <w:rFonts w:eastAsia="Calibri"/>
                <w:b/>
                <w:color w:val="EEECE1"/>
              </w:rPr>
            </w:pPr>
            <w:r w:rsidRPr="00FE42C2">
              <w:rPr>
                <w:rFonts w:eastAsia="Calibri"/>
                <w:b/>
                <w:color w:val="EEECE1"/>
              </w:rPr>
              <w:t>Workforce Solutions</w:t>
            </w:r>
          </w:p>
          <w:p w:rsidR="00721E4D" w:rsidRPr="00FE42C2" w:rsidRDefault="00721E4D" w:rsidP="00FE42C2">
            <w:pPr>
              <w:autoSpaceDE w:val="0"/>
              <w:autoSpaceDN w:val="0"/>
              <w:adjustRightInd w:val="0"/>
              <w:jc w:val="center"/>
              <w:rPr>
                <w:rFonts w:ascii="Calibri" w:eastAsia="Calibri" w:hAnsi="Calibri"/>
                <w:color w:val="EEECE1"/>
                <w:sz w:val="22"/>
                <w:szCs w:val="22"/>
              </w:rPr>
            </w:pPr>
            <w:r w:rsidRPr="00FE42C2">
              <w:rPr>
                <w:rFonts w:eastAsia="Calibri"/>
                <w:b/>
                <w:color w:val="EEECE1"/>
              </w:rPr>
              <w:t>Customer Requirements for Continued Scholarship Funding</w:t>
            </w:r>
          </w:p>
        </w:tc>
      </w:tr>
      <w:tr w:rsidR="00870F9F" w:rsidTr="00FE42C2">
        <w:trPr>
          <w:tblHeader/>
        </w:trPr>
        <w:tc>
          <w:tcPr>
            <w:tcW w:w="1818" w:type="dxa"/>
          </w:tcPr>
          <w:p w:rsidR="00870F9F" w:rsidRPr="00FE42C2" w:rsidRDefault="00870F9F" w:rsidP="00FE42C2">
            <w:pPr>
              <w:autoSpaceDE w:val="0"/>
              <w:autoSpaceDN w:val="0"/>
              <w:adjustRightInd w:val="0"/>
              <w:rPr>
                <w:rFonts w:eastAsia="Calibri"/>
                <w:sz w:val="22"/>
                <w:szCs w:val="22"/>
              </w:rPr>
            </w:pPr>
          </w:p>
        </w:tc>
        <w:tc>
          <w:tcPr>
            <w:tcW w:w="4140" w:type="dxa"/>
            <w:vAlign w:val="center"/>
          </w:tcPr>
          <w:p w:rsidR="00870F9F" w:rsidRPr="00FE42C2" w:rsidRDefault="009A59DC" w:rsidP="00FE42C2">
            <w:pPr>
              <w:autoSpaceDE w:val="0"/>
              <w:autoSpaceDN w:val="0"/>
              <w:adjustRightInd w:val="0"/>
              <w:jc w:val="center"/>
              <w:rPr>
                <w:rFonts w:eastAsia="Calibri"/>
                <w:b/>
                <w:sz w:val="22"/>
                <w:szCs w:val="22"/>
              </w:rPr>
            </w:pPr>
            <w:r w:rsidRPr="00FE42C2">
              <w:rPr>
                <w:rFonts w:eastAsia="Calibri"/>
                <w:b/>
                <w:sz w:val="22"/>
                <w:szCs w:val="22"/>
              </w:rPr>
              <w:t>Report as required</w:t>
            </w:r>
          </w:p>
        </w:tc>
        <w:tc>
          <w:tcPr>
            <w:tcW w:w="3510" w:type="dxa"/>
            <w:vAlign w:val="center"/>
          </w:tcPr>
          <w:p w:rsidR="00870F9F" w:rsidRPr="00FE42C2" w:rsidRDefault="009A59DC" w:rsidP="00FE42C2">
            <w:pPr>
              <w:autoSpaceDE w:val="0"/>
              <w:autoSpaceDN w:val="0"/>
              <w:adjustRightInd w:val="0"/>
              <w:jc w:val="center"/>
              <w:rPr>
                <w:rFonts w:eastAsia="Calibri"/>
                <w:b/>
                <w:sz w:val="22"/>
                <w:szCs w:val="22"/>
              </w:rPr>
            </w:pPr>
            <w:r w:rsidRPr="00FE42C2">
              <w:rPr>
                <w:rFonts w:eastAsia="Calibri"/>
                <w:b/>
                <w:sz w:val="22"/>
                <w:szCs w:val="22"/>
              </w:rPr>
              <w:t>Maintain grades/Make progress</w:t>
            </w:r>
          </w:p>
        </w:tc>
        <w:tc>
          <w:tcPr>
            <w:tcW w:w="3780" w:type="dxa"/>
            <w:vAlign w:val="center"/>
          </w:tcPr>
          <w:p w:rsidR="00870F9F" w:rsidRPr="00FE42C2" w:rsidRDefault="005B2D04" w:rsidP="00FE42C2">
            <w:pPr>
              <w:autoSpaceDE w:val="0"/>
              <w:autoSpaceDN w:val="0"/>
              <w:adjustRightInd w:val="0"/>
              <w:jc w:val="center"/>
              <w:rPr>
                <w:rFonts w:eastAsia="Calibri"/>
                <w:b/>
                <w:sz w:val="22"/>
                <w:szCs w:val="22"/>
              </w:rPr>
            </w:pPr>
            <w:r w:rsidRPr="00FE42C2">
              <w:rPr>
                <w:rFonts w:eastAsia="Calibri"/>
                <w:b/>
                <w:sz w:val="22"/>
                <w:szCs w:val="22"/>
              </w:rPr>
              <w:t>Course Changes</w:t>
            </w:r>
          </w:p>
        </w:tc>
      </w:tr>
      <w:tr w:rsidR="00870F9F" w:rsidTr="00FE42C2">
        <w:tc>
          <w:tcPr>
            <w:tcW w:w="1818" w:type="dxa"/>
            <w:vAlign w:val="center"/>
          </w:tcPr>
          <w:p w:rsidR="00870F9F" w:rsidRPr="00FE42C2" w:rsidRDefault="00721E4D" w:rsidP="00FE42C2">
            <w:pPr>
              <w:autoSpaceDE w:val="0"/>
              <w:autoSpaceDN w:val="0"/>
              <w:adjustRightInd w:val="0"/>
              <w:jc w:val="center"/>
              <w:rPr>
                <w:rFonts w:eastAsia="Calibri"/>
                <w:sz w:val="22"/>
                <w:szCs w:val="22"/>
              </w:rPr>
            </w:pPr>
            <w:r w:rsidRPr="00FE42C2">
              <w:rPr>
                <w:rFonts w:eastAsia="Calibri"/>
                <w:sz w:val="22"/>
                <w:szCs w:val="22"/>
              </w:rPr>
              <w:t>Requirements</w:t>
            </w:r>
          </w:p>
        </w:tc>
        <w:tc>
          <w:tcPr>
            <w:tcW w:w="4140" w:type="dxa"/>
          </w:tcPr>
          <w:p w:rsidR="00870F9F" w:rsidRPr="00FE42C2" w:rsidRDefault="00870F9F" w:rsidP="00FE42C2">
            <w:pPr>
              <w:pStyle w:val="ListParagraph"/>
              <w:numPr>
                <w:ilvl w:val="0"/>
                <w:numId w:val="3"/>
              </w:numPr>
              <w:autoSpaceDE w:val="0"/>
              <w:autoSpaceDN w:val="0"/>
              <w:adjustRightInd w:val="0"/>
              <w:spacing w:before="0" w:after="0"/>
              <w:ind w:left="346" w:hanging="346"/>
              <w:rPr>
                <w:rFonts w:eastAsia="Calibri"/>
                <w:sz w:val="22"/>
                <w:szCs w:val="22"/>
              </w:rPr>
            </w:pPr>
            <w:r w:rsidRPr="00FE42C2">
              <w:rPr>
                <w:rFonts w:eastAsia="Calibri"/>
                <w:sz w:val="22"/>
                <w:szCs w:val="22"/>
              </w:rPr>
              <w:t xml:space="preserve">Customers must inform the designated career office staff within </w:t>
            </w:r>
            <w:r w:rsidR="003402DD" w:rsidRPr="003402DD">
              <w:rPr>
                <w:rFonts w:eastAsia="Calibri"/>
                <w:sz w:val="22"/>
                <w:szCs w:val="22"/>
                <w:highlight w:val="lightGray"/>
              </w:rPr>
              <w:t>5</w:t>
            </w:r>
            <w:r w:rsidRPr="00FE42C2">
              <w:rPr>
                <w:rFonts w:eastAsia="Calibri"/>
                <w:sz w:val="22"/>
                <w:szCs w:val="22"/>
              </w:rPr>
              <w:t xml:space="preserve"> </w:t>
            </w:r>
            <w:r w:rsidR="008A3B8A" w:rsidRPr="00FE42C2">
              <w:rPr>
                <w:rFonts w:eastAsia="Calibri"/>
                <w:sz w:val="22"/>
                <w:szCs w:val="22"/>
              </w:rPr>
              <w:t xml:space="preserve">work </w:t>
            </w:r>
            <w:r w:rsidRPr="00FE42C2">
              <w:rPr>
                <w:rFonts w:eastAsia="Calibri"/>
                <w:sz w:val="22"/>
                <w:szCs w:val="22"/>
              </w:rPr>
              <w:t>days of the following events:</w:t>
            </w:r>
          </w:p>
          <w:p w:rsidR="00870F9F" w:rsidRPr="00FE42C2" w:rsidRDefault="00870F9F" w:rsidP="00FE42C2">
            <w:pPr>
              <w:pStyle w:val="ListParagraph"/>
              <w:numPr>
                <w:ilvl w:val="0"/>
                <w:numId w:val="4"/>
              </w:numPr>
              <w:autoSpaceDE w:val="0"/>
              <w:autoSpaceDN w:val="0"/>
              <w:adjustRightInd w:val="0"/>
              <w:spacing w:before="0" w:after="0"/>
              <w:rPr>
                <w:rFonts w:eastAsia="Calibri"/>
                <w:sz w:val="22"/>
                <w:szCs w:val="22"/>
              </w:rPr>
            </w:pPr>
            <w:r w:rsidRPr="00FE42C2">
              <w:rPr>
                <w:rFonts w:eastAsia="Calibri"/>
                <w:sz w:val="22"/>
                <w:szCs w:val="22"/>
              </w:rPr>
              <w:t>Training start date</w:t>
            </w:r>
            <w:r w:rsidR="00B013FA" w:rsidRPr="00FE42C2">
              <w:rPr>
                <w:rFonts w:eastAsia="Calibri"/>
                <w:sz w:val="22"/>
                <w:szCs w:val="22"/>
              </w:rPr>
              <w:t>;</w:t>
            </w:r>
          </w:p>
          <w:p w:rsidR="00870F9F" w:rsidRPr="00FE42C2" w:rsidRDefault="00870F9F" w:rsidP="00FE42C2">
            <w:pPr>
              <w:pStyle w:val="ListParagraph"/>
              <w:numPr>
                <w:ilvl w:val="0"/>
                <w:numId w:val="4"/>
              </w:numPr>
              <w:autoSpaceDE w:val="0"/>
              <w:autoSpaceDN w:val="0"/>
              <w:adjustRightInd w:val="0"/>
              <w:spacing w:before="0" w:after="0"/>
              <w:rPr>
                <w:rFonts w:eastAsia="Calibri"/>
                <w:sz w:val="22"/>
                <w:szCs w:val="22"/>
              </w:rPr>
            </w:pPr>
            <w:r w:rsidRPr="00FE42C2">
              <w:rPr>
                <w:rFonts w:eastAsia="Calibri"/>
                <w:sz w:val="22"/>
                <w:szCs w:val="22"/>
              </w:rPr>
              <w:t>Course drops, course changes, changes in course of study (major)</w:t>
            </w:r>
            <w:r w:rsidR="00B013FA" w:rsidRPr="00FE42C2">
              <w:rPr>
                <w:rFonts w:eastAsia="Calibri"/>
                <w:sz w:val="22"/>
                <w:szCs w:val="22"/>
              </w:rPr>
              <w:t>;</w:t>
            </w:r>
          </w:p>
          <w:p w:rsidR="00B013FA" w:rsidRPr="00FE42C2" w:rsidRDefault="00B013FA" w:rsidP="00FE42C2">
            <w:pPr>
              <w:pStyle w:val="ListParagraph"/>
              <w:numPr>
                <w:ilvl w:val="0"/>
                <w:numId w:val="4"/>
              </w:numPr>
              <w:autoSpaceDE w:val="0"/>
              <w:autoSpaceDN w:val="0"/>
              <w:adjustRightInd w:val="0"/>
              <w:spacing w:before="0" w:after="0"/>
              <w:rPr>
                <w:rFonts w:eastAsia="Calibri"/>
                <w:sz w:val="22"/>
                <w:szCs w:val="22"/>
              </w:rPr>
            </w:pPr>
            <w:r w:rsidRPr="00FE42C2">
              <w:rPr>
                <w:rFonts w:eastAsia="Calibri"/>
                <w:sz w:val="22"/>
                <w:szCs w:val="22"/>
              </w:rPr>
              <w:t>Withdrawal from school.</w:t>
            </w:r>
          </w:p>
          <w:p w:rsidR="00B013FA" w:rsidRPr="00FE42C2" w:rsidRDefault="00B013FA" w:rsidP="00FE42C2">
            <w:pPr>
              <w:autoSpaceDE w:val="0"/>
              <w:autoSpaceDN w:val="0"/>
              <w:adjustRightInd w:val="0"/>
              <w:rPr>
                <w:rFonts w:eastAsia="Calibri"/>
                <w:sz w:val="22"/>
                <w:szCs w:val="22"/>
              </w:rPr>
            </w:pPr>
          </w:p>
          <w:p w:rsidR="00B013FA" w:rsidRPr="00FE42C2" w:rsidRDefault="00B013FA" w:rsidP="00FE42C2">
            <w:pPr>
              <w:pStyle w:val="ListParagraph"/>
              <w:numPr>
                <w:ilvl w:val="0"/>
                <w:numId w:val="1"/>
              </w:numPr>
              <w:autoSpaceDE w:val="0"/>
              <w:autoSpaceDN w:val="0"/>
              <w:adjustRightInd w:val="0"/>
              <w:spacing w:before="0" w:after="0"/>
              <w:ind w:left="342"/>
              <w:rPr>
                <w:rFonts w:eastAsia="Calibri"/>
                <w:sz w:val="22"/>
                <w:szCs w:val="22"/>
              </w:rPr>
            </w:pPr>
            <w:r w:rsidRPr="00FE42C2">
              <w:rPr>
                <w:rFonts w:eastAsia="Calibri"/>
                <w:sz w:val="22"/>
                <w:szCs w:val="22"/>
              </w:rPr>
              <w:t>Customers must report attendance :</w:t>
            </w:r>
          </w:p>
          <w:p w:rsidR="00B013FA" w:rsidRPr="00FE42C2" w:rsidRDefault="00B013FA" w:rsidP="00FE42C2">
            <w:pPr>
              <w:pStyle w:val="ListParagraph"/>
              <w:numPr>
                <w:ilvl w:val="0"/>
                <w:numId w:val="5"/>
              </w:numPr>
              <w:autoSpaceDE w:val="0"/>
              <w:autoSpaceDN w:val="0"/>
              <w:adjustRightInd w:val="0"/>
              <w:spacing w:before="0" w:after="0"/>
              <w:ind w:left="706"/>
              <w:rPr>
                <w:rFonts w:eastAsia="Calibri"/>
                <w:sz w:val="22"/>
                <w:szCs w:val="22"/>
              </w:rPr>
            </w:pPr>
            <w:r w:rsidRPr="00FE42C2">
              <w:rPr>
                <w:rFonts w:eastAsia="Calibri"/>
                <w:sz w:val="22"/>
                <w:szCs w:val="22"/>
              </w:rPr>
              <w:t>as  often and in the form we require if his/her eligibility depends upon cooperating with us to maintain benefits; or</w:t>
            </w:r>
          </w:p>
          <w:p w:rsidR="00B013FA" w:rsidRPr="00FE42C2" w:rsidRDefault="00B013FA" w:rsidP="00FE42C2">
            <w:pPr>
              <w:pStyle w:val="ListParagraph"/>
              <w:numPr>
                <w:ilvl w:val="0"/>
                <w:numId w:val="5"/>
              </w:numPr>
              <w:autoSpaceDE w:val="0"/>
              <w:autoSpaceDN w:val="0"/>
              <w:adjustRightInd w:val="0"/>
              <w:spacing w:before="0" w:after="0"/>
              <w:rPr>
                <w:rFonts w:eastAsia="Calibri"/>
                <w:sz w:val="22"/>
                <w:szCs w:val="22"/>
              </w:rPr>
            </w:pPr>
            <w:proofErr w:type="gramStart"/>
            <w:r w:rsidRPr="00FE42C2">
              <w:rPr>
                <w:rFonts w:eastAsia="Calibri"/>
                <w:sz w:val="22"/>
                <w:szCs w:val="22"/>
              </w:rPr>
              <w:t>as</w:t>
            </w:r>
            <w:proofErr w:type="gramEnd"/>
            <w:r w:rsidRPr="00FE42C2">
              <w:rPr>
                <w:rFonts w:eastAsia="Calibri"/>
                <w:sz w:val="22"/>
                <w:szCs w:val="22"/>
              </w:rPr>
              <w:t xml:space="preserve"> often as we have negotiated in the employment plan.</w:t>
            </w:r>
          </w:p>
          <w:p w:rsidR="00B013FA" w:rsidRPr="00FE42C2" w:rsidRDefault="00B013FA" w:rsidP="00FE42C2">
            <w:pPr>
              <w:pStyle w:val="ListParagraph"/>
              <w:numPr>
                <w:ilvl w:val="0"/>
                <w:numId w:val="1"/>
              </w:numPr>
              <w:autoSpaceDE w:val="0"/>
              <w:autoSpaceDN w:val="0"/>
              <w:adjustRightInd w:val="0"/>
              <w:ind w:left="342" w:hanging="342"/>
              <w:rPr>
                <w:rFonts w:eastAsia="Calibri"/>
                <w:sz w:val="22"/>
                <w:szCs w:val="22"/>
              </w:rPr>
            </w:pPr>
            <w:r w:rsidRPr="00FE42C2">
              <w:rPr>
                <w:rFonts w:eastAsia="Calibri"/>
                <w:sz w:val="22"/>
                <w:szCs w:val="22"/>
              </w:rPr>
              <w:t xml:space="preserve">Customers receiving financial aid for transportation expenses must report attendance at least once every </w:t>
            </w:r>
            <w:r w:rsidR="00830250" w:rsidRPr="00FE42C2">
              <w:rPr>
                <w:rFonts w:eastAsia="Calibri"/>
                <w:sz w:val="22"/>
                <w:szCs w:val="22"/>
              </w:rPr>
              <w:t>2 weeks</w:t>
            </w:r>
            <w:r w:rsidRPr="00FE42C2">
              <w:rPr>
                <w:rFonts w:eastAsia="Calibri"/>
                <w:sz w:val="22"/>
                <w:szCs w:val="22"/>
              </w:rPr>
              <w:t xml:space="preserve"> to continue receiving assistance.</w:t>
            </w:r>
          </w:p>
          <w:p w:rsidR="00B013FA" w:rsidRPr="00FE42C2" w:rsidRDefault="00B013FA" w:rsidP="00FE42C2">
            <w:pPr>
              <w:pStyle w:val="ListParagraph"/>
              <w:numPr>
                <w:ilvl w:val="0"/>
                <w:numId w:val="1"/>
              </w:numPr>
              <w:autoSpaceDE w:val="0"/>
              <w:autoSpaceDN w:val="0"/>
              <w:adjustRightInd w:val="0"/>
              <w:spacing w:after="0"/>
              <w:ind w:left="346"/>
              <w:rPr>
                <w:rFonts w:eastAsia="Calibri"/>
                <w:sz w:val="22"/>
                <w:szCs w:val="22"/>
              </w:rPr>
            </w:pPr>
            <w:r w:rsidRPr="00FE42C2">
              <w:rPr>
                <w:rFonts w:eastAsia="Calibri"/>
                <w:sz w:val="22"/>
                <w:szCs w:val="22"/>
              </w:rPr>
              <w:t xml:space="preserve">Customers must report grades to us within 10 </w:t>
            </w:r>
            <w:r w:rsidR="0080761F" w:rsidRPr="00FE42C2">
              <w:rPr>
                <w:rFonts w:eastAsia="Calibri"/>
                <w:sz w:val="22"/>
                <w:szCs w:val="22"/>
              </w:rPr>
              <w:t>work</w:t>
            </w:r>
            <w:r w:rsidR="00C913C2" w:rsidRPr="00FE42C2">
              <w:rPr>
                <w:rFonts w:eastAsia="Calibri"/>
                <w:sz w:val="22"/>
                <w:szCs w:val="22"/>
              </w:rPr>
              <w:t xml:space="preserve"> </w:t>
            </w:r>
            <w:r w:rsidR="0080761F" w:rsidRPr="00FE42C2">
              <w:rPr>
                <w:rFonts w:eastAsia="Calibri"/>
                <w:sz w:val="22"/>
                <w:szCs w:val="22"/>
              </w:rPr>
              <w:t>days</w:t>
            </w:r>
            <w:r w:rsidRPr="00FE42C2">
              <w:rPr>
                <w:rFonts w:eastAsia="Calibri"/>
                <w:sz w:val="22"/>
                <w:szCs w:val="22"/>
              </w:rPr>
              <w:t xml:space="preserve"> of the end of a training segment (semester, quarter, or course).</w:t>
            </w:r>
          </w:p>
        </w:tc>
        <w:tc>
          <w:tcPr>
            <w:tcW w:w="3510" w:type="dxa"/>
          </w:tcPr>
          <w:p w:rsidR="003A2CBC" w:rsidRPr="00FE42C2" w:rsidRDefault="00B825FD" w:rsidP="00FE42C2">
            <w:pPr>
              <w:pStyle w:val="ListParagraph"/>
              <w:numPr>
                <w:ilvl w:val="0"/>
                <w:numId w:val="7"/>
              </w:numPr>
              <w:spacing w:before="0" w:after="0"/>
              <w:ind w:left="342" w:hanging="342"/>
              <w:contextualSpacing/>
              <w:rPr>
                <w:rFonts w:eastAsia="Calibri"/>
                <w:sz w:val="22"/>
                <w:szCs w:val="22"/>
              </w:rPr>
            </w:pPr>
            <w:r w:rsidRPr="00FE42C2">
              <w:rPr>
                <w:rFonts w:eastAsia="Calibri"/>
                <w:sz w:val="22"/>
                <w:szCs w:val="22"/>
              </w:rPr>
              <w:t>Customers</w:t>
            </w:r>
            <w:r w:rsidR="003A2CBC" w:rsidRPr="00FE42C2">
              <w:rPr>
                <w:rFonts w:eastAsia="Calibri"/>
                <w:sz w:val="22"/>
                <w:szCs w:val="22"/>
              </w:rPr>
              <w:t xml:space="preserve"> must make acceptable progress to continue receiving a scholarship</w:t>
            </w:r>
            <w:r w:rsidRPr="00FE42C2">
              <w:rPr>
                <w:rFonts w:eastAsia="Calibri"/>
                <w:sz w:val="22"/>
                <w:szCs w:val="22"/>
              </w:rPr>
              <w:t>.  They</w:t>
            </w:r>
            <w:r w:rsidR="003A2CBC" w:rsidRPr="00FE42C2">
              <w:rPr>
                <w:rFonts w:eastAsia="Calibri"/>
                <w:sz w:val="22"/>
                <w:szCs w:val="22"/>
              </w:rPr>
              <w:t xml:space="preserve"> </w:t>
            </w:r>
          </w:p>
          <w:p w:rsidR="003A2CBC" w:rsidRPr="00FE42C2" w:rsidRDefault="003A2CBC" w:rsidP="00FE42C2">
            <w:pPr>
              <w:pStyle w:val="ListParagraph"/>
              <w:numPr>
                <w:ilvl w:val="0"/>
                <w:numId w:val="8"/>
              </w:numPr>
              <w:spacing w:before="0" w:after="0"/>
              <w:ind w:left="706"/>
              <w:contextualSpacing/>
              <w:rPr>
                <w:rFonts w:eastAsia="Calibri"/>
                <w:sz w:val="22"/>
                <w:szCs w:val="22"/>
              </w:rPr>
            </w:pPr>
            <w:r w:rsidRPr="00FE42C2">
              <w:rPr>
                <w:rFonts w:eastAsia="Calibri"/>
                <w:sz w:val="22"/>
                <w:szCs w:val="22"/>
              </w:rPr>
              <w:t xml:space="preserve">Must have a C (usually 2.0) average from the all previous </w:t>
            </w:r>
            <w:r w:rsidR="00B825FD" w:rsidRPr="00FE42C2">
              <w:rPr>
                <w:rFonts w:eastAsia="Calibri"/>
                <w:sz w:val="22"/>
                <w:szCs w:val="22"/>
              </w:rPr>
              <w:t>period</w:t>
            </w:r>
            <w:r w:rsidR="002B5164" w:rsidRPr="00FE42C2">
              <w:rPr>
                <w:rFonts w:eastAsia="Calibri"/>
                <w:sz w:val="22"/>
                <w:szCs w:val="22"/>
              </w:rPr>
              <w:t>’</w:t>
            </w:r>
            <w:r w:rsidR="00B825FD" w:rsidRPr="00FE42C2">
              <w:rPr>
                <w:rFonts w:eastAsia="Calibri"/>
                <w:sz w:val="22"/>
                <w:szCs w:val="22"/>
              </w:rPr>
              <w:t>s</w:t>
            </w:r>
            <w:r w:rsidRPr="00FE42C2">
              <w:rPr>
                <w:rFonts w:eastAsia="Calibri"/>
                <w:sz w:val="22"/>
                <w:szCs w:val="22"/>
              </w:rPr>
              <w:t xml:space="preserve"> course work</w:t>
            </w:r>
            <w:r w:rsidR="00B825FD" w:rsidRPr="00FE42C2">
              <w:rPr>
                <w:rFonts w:eastAsia="Calibri"/>
                <w:sz w:val="22"/>
                <w:szCs w:val="22"/>
              </w:rPr>
              <w:t>.  The grade average includes all course work regardless of who paid for the course.</w:t>
            </w:r>
            <w:r w:rsidRPr="00FE42C2">
              <w:rPr>
                <w:rFonts w:eastAsia="Calibri"/>
                <w:sz w:val="22"/>
                <w:szCs w:val="22"/>
              </w:rPr>
              <w:t xml:space="preserve">  </w:t>
            </w:r>
          </w:p>
          <w:p w:rsidR="00B825FD" w:rsidRPr="00FE42C2" w:rsidRDefault="00B825FD" w:rsidP="00FE42C2">
            <w:pPr>
              <w:pStyle w:val="ListParagraph"/>
              <w:numPr>
                <w:ilvl w:val="0"/>
                <w:numId w:val="8"/>
              </w:numPr>
              <w:spacing w:before="0" w:after="0"/>
              <w:ind w:left="706"/>
              <w:rPr>
                <w:rFonts w:eastAsia="Calibri"/>
                <w:sz w:val="22"/>
                <w:szCs w:val="22"/>
              </w:rPr>
            </w:pPr>
            <w:r w:rsidRPr="00FE42C2">
              <w:rPr>
                <w:rFonts w:eastAsia="Calibri"/>
                <w:sz w:val="22"/>
                <w:szCs w:val="22"/>
              </w:rPr>
              <w:t>Must not be on academic probation of any kind.</w:t>
            </w:r>
          </w:p>
          <w:p w:rsidR="00870F9F" w:rsidRPr="00FE42C2" w:rsidRDefault="00870F9F" w:rsidP="00FE42C2">
            <w:pPr>
              <w:spacing w:after="200" w:line="276" w:lineRule="auto"/>
              <w:ind w:left="323"/>
              <w:contextualSpacing/>
              <w:rPr>
                <w:rFonts w:eastAsia="Calibri"/>
                <w:sz w:val="22"/>
                <w:szCs w:val="22"/>
              </w:rPr>
            </w:pPr>
          </w:p>
        </w:tc>
        <w:tc>
          <w:tcPr>
            <w:tcW w:w="3780" w:type="dxa"/>
          </w:tcPr>
          <w:p w:rsidR="00EA1CAD" w:rsidRPr="00FE42C2" w:rsidRDefault="00EA1CAD" w:rsidP="00FE42C2">
            <w:pPr>
              <w:pStyle w:val="ListParagraph"/>
              <w:numPr>
                <w:ilvl w:val="0"/>
                <w:numId w:val="9"/>
              </w:numPr>
              <w:spacing w:before="0" w:after="0"/>
              <w:ind w:left="342" w:hanging="342"/>
              <w:rPr>
                <w:rFonts w:eastAsia="Calibri"/>
                <w:sz w:val="22"/>
                <w:szCs w:val="22"/>
              </w:rPr>
            </w:pPr>
            <w:r w:rsidRPr="00FE42C2">
              <w:rPr>
                <w:rFonts w:eastAsia="Calibri"/>
                <w:sz w:val="22"/>
                <w:szCs w:val="22"/>
              </w:rPr>
              <w:t xml:space="preserve">A customer may change to a different course of study only once prior to the completion of her course of study.  </w:t>
            </w:r>
          </w:p>
          <w:p w:rsidR="00EA1CAD" w:rsidRPr="00FE42C2" w:rsidRDefault="00EA1CAD" w:rsidP="00FE42C2">
            <w:pPr>
              <w:pStyle w:val="ListParagraph"/>
              <w:numPr>
                <w:ilvl w:val="0"/>
                <w:numId w:val="10"/>
              </w:numPr>
              <w:spacing w:before="0" w:after="0"/>
              <w:rPr>
                <w:rFonts w:eastAsia="Calibri"/>
                <w:sz w:val="22"/>
                <w:szCs w:val="22"/>
              </w:rPr>
            </w:pPr>
            <w:r w:rsidRPr="00FE42C2">
              <w:rPr>
                <w:rFonts w:eastAsia="Calibri"/>
                <w:sz w:val="22"/>
                <w:szCs w:val="22"/>
              </w:rPr>
              <w:t xml:space="preserve">We consider a change in the course of study to apply to changes in the same occupational field (such as switching from training to be a nurse to training as a respiratory therapist) and to changes to a completely different field of study.    </w:t>
            </w:r>
          </w:p>
          <w:p w:rsidR="00EA1CAD" w:rsidRPr="00FE42C2" w:rsidRDefault="00EA1CAD" w:rsidP="009A59DC">
            <w:pPr>
              <w:rPr>
                <w:rFonts w:eastAsia="Calibri"/>
                <w:sz w:val="22"/>
                <w:szCs w:val="22"/>
              </w:rPr>
            </w:pPr>
          </w:p>
          <w:p w:rsidR="00EA1CAD" w:rsidRPr="00FE42C2" w:rsidRDefault="00EA1CAD" w:rsidP="00FE42C2">
            <w:pPr>
              <w:pStyle w:val="ListParagraph"/>
              <w:numPr>
                <w:ilvl w:val="0"/>
                <w:numId w:val="9"/>
              </w:numPr>
              <w:spacing w:before="0" w:after="0"/>
              <w:ind w:left="342" w:hanging="342"/>
              <w:rPr>
                <w:rFonts w:eastAsia="Calibri"/>
                <w:sz w:val="22"/>
                <w:szCs w:val="22"/>
              </w:rPr>
            </w:pPr>
            <w:r w:rsidRPr="00FE42C2">
              <w:rPr>
                <w:rFonts w:eastAsia="Calibri"/>
                <w:sz w:val="22"/>
                <w:szCs w:val="22"/>
              </w:rPr>
              <w:t xml:space="preserve">Once a customer completes her coursework or training, we will not pay for education in another field unless the customer is no longer able to work in the field of training.  For example, if the customer is injured and cannot perform the work she originally trained for.  </w:t>
            </w:r>
          </w:p>
          <w:p w:rsidR="009A59DC" w:rsidRPr="00FE42C2" w:rsidRDefault="009A59DC" w:rsidP="009A59DC">
            <w:pPr>
              <w:rPr>
                <w:rFonts w:ascii="Calibri" w:eastAsia="Calibri" w:hAnsi="Calibri"/>
                <w:sz w:val="22"/>
                <w:szCs w:val="22"/>
              </w:rPr>
            </w:pPr>
          </w:p>
          <w:p w:rsidR="00870F9F" w:rsidRPr="00FE42C2" w:rsidRDefault="00EA1CAD" w:rsidP="00FE42C2">
            <w:pPr>
              <w:pStyle w:val="ListParagraph"/>
              <w:numPr>
                <w:ilvl w:val="0"/>
                <w:numId w:val="9"/>
              </w:numPr>
              <w:spacing w:before="0" w:after="0"/>
              <w:ind w:left="342" w:hanging="342"/>
              <w:rPr>
                <w:rFonts w:eastAsia="Calibri"/>
                <w:sz w:val="22"/>
                <w:szCs w:val="22"/>
              </w:rPr>
            </w:pPr>
            <w:r w:rsidRPr="00FE42C2">
              <w:rPr>
                <w:rFonts w:eastAsia="Calibri"/>
                <w:sz w:val="22"/>
                <w:szCs w:val="22"/>
              </w:rPr>
              <w:t xml:space="preserve">We will only allow only one drop for each student after the date the school allows full tuition refund for dropping a class.  </w:t>
            </w:r>
          </w:p>
        </w:tc>
      </w:tr>
      <w:tr w:rsidR="009D246F" w:rsidTr="00FE42C2">
        <w:trPr>
          <w:cantSplit/>
        </w:trPr>
        <w:tc>
          <w:tcPr>
            <w:tcW w:w="1818" w:type="dxa"/>
            <w:vMerge w:val="restart"/>
            <w:vAlign w:val="center"/>
          </w:tcPr>
          <w:p w:rsidR="009D246F" w:rsidRPr="00FE42C2" w:rsidRDefault="009D246F" w:rsidP="00FE42C2">
            <w:pPr>
              <w:autoSpaceDE w:val="0"/>
              <w:autoSpaceDN w:val="0"/>
              <w:adjustRightInd w:val="0"/>
              <w:jc w:val="center"/>
              <w:rPr>
                <w:rFonts w:eastAsia="Calibri"/>
                <w:sz w:val="22"/>
                <w:szCs w:val="22"/>
              </w:rPr>
            </w:pPr>
            <w:r w:rsidRPr="00FE42C2">
              <w:rPr>
                <w:rFonts w:eastAsia="Calibri"/>
                <w:sz w:val="22"/>
                <w:szCs w:val="22"/>
              </w:rPr>
              <w:lastRenderedPageBreak/>
              <w:t>Penalties &amp; Exceptions</w:t>
            </w:r>
          </w:p>
        </w:tc>
        <w:tc>
          <w:tcPr>
            <w:tcW w:w="4140" w:type="dxa"/>
          </w:tcPr>
          <w:p w:rsidR="009D246F" w:rsidRPr="00FE42C2" w:rsidRDefault="009D246F" w:rsidP="00FE42C2">
            <w:pPr>
              <w:pStyle w:val="ListParagraph"/>
              <w:numPr>
                <w:ilvl w:val="0"/>
                <w:numId w:val="6"/>
              </w:numPr>
              <w:autoSpaceDE w:val="0"/>
              <w:autoSpaceDN w:val="0"/>
              <w:adjustRightInd w:val="0"/>
              <w:spacing w:before="0"/>
              <w:ind w:left="346"/>
              <w:rPr>
                <w:rFonts w:eastAsia="Calibri"/>
                <w:sz w:val="22"/>
                <w:szCs w:val="22"/>
              </w:rPr>
            </w:pPr>
            <w:r w:rsidRPr="00FE42C2">
              <w:rPr>
                <w:rFonts w:eastAsia="Calibri"/>
                <w:sz w:val="22"/>
                <w:szCs w:val="22"/>
              </w:rPr>
              <w:t>Customers who fail to report as required may have their scholarships and all other financial aid discontinued.</w:t>
            </w:r>
          </w:p>
          <w:p w:rsidR="009D246F" w:rsidRDefault="009D246F" w:rsidP="00FE42C2">
            <w:pPr>
              <w:pStyle w:val="ListParagraph"/>
              <w:numPr>
                <w:ilvl w:val="0"/>
                <w:numId w:val="6"/>
              </w:numPr>
              <w:autoSpaceDE w:val="0"/>
              <w:autoSpaceDN w:val="0"/>
              <w:adjustRightInd w:val="0"/>
              <w:spacing w:before="0"/>
              <w:ind w:left="346"/>
              <w:rPr>
                <w:rFonts w:eastAsia="Calibri"/>
                <w:sz w:val="22"/>
                <w:szCs w:val="22"/>
              </w:rPr>
            </w:pPr>
            <w:r w:rsidRPr="00FE42C2">
              <w:rPr>
                <w:rFonts w:eastAsia="Calibri"/>
                <w:sz w:val="22"/>
                <w:szCs w:val="22"/>
              </w:rPr>
              <w:t xml:space="preserve">Customers who have </w:t>
            </w:r>
            <w:r w:rsidR="003402DD">
              <w:rPr>
                <w:rFonts w:eastAsia="Calibri"/>
                <w:sz w:val="22"/>
                <w:szCs w:val="22"/>
              </w:rPr>
              <w:t xml:space="preserve">received but </w:t>
            </w:r>
            <w:r w:rsidRPr="00FE42C2">
              <w:rPr>
                <w:rFonts w:eastAsia="Calibri"/>
                <w:sz w:val="22"/>
                <w:szCs w:val="22"/>
              </w:rPr>
              <w:t xml:space="preserve">not reported grades </w:t>
            </w:r>
            <w:r w:rsidR="003402DD">
              <w:rPr>
                <w:rFonts w:eastAsia="Calibri"/>
                <w:sz w:val="22"/>
                <w:szCs w:val="22"/>
              </w:rPr>
              <w:t>t</w:t>
            </w:r>
            <w:r w:rsidRPr="00FE42C2">
              <w:rPr>
                <w:rFonts w:eastAsia="Calibri"/>
                <w:sz w:val="22"/>
                <w:szCs w:val="22"/>
              </w:rPr>
              <w:t xml:space="preserve">o us for a prior period or who failed to report course changes, course drops or withdrawals are not eligible for continued scholarship and related financial aid.  </w:t>
            </w:r>
          </w:p>
          <w:p w:rsidR="006600B8" w:rsidRDefault="00B52F61" w:rsidP="00B52F61">
            <w:pPr>
              <w:pStyle w:val="ListParagraph"/>
              <w:autoSpaceDE w:val="0"/>
              <w:autoSpaceDN w:val="0"/>
              <w:adjustRightInd w:val="0"/>
              <w:spacing w:before="0"/>
              <w:ind w:left="346"/>
              <w:rPr>
                <w:rFonts w:eastAsia="Calibri"/>
                <w:sz w:val="22"/>
                <w:szCs w:val="22"/>
              </w:rPr>
            </w:pPr>
            <w:r w:rsidRPr="009A4E11">
              <w:rPr>
                <w:rFonts w:eastAsia="Calibri"/>
                <w:i/>
                <w:sz w:val="20"/>
                <w:szCs w:val="20"/>
                <w:highlight w:val="lightGray"/>
              </w:rPr>
              <w:t xml:space="preserve">Note: </w:t>
            </w:r>
            <w:r w:rsidR="006600B8" w:rsidRPr="009A4E11">
              <w:rPr>
                <w:rFonts w:eastAsia="Calibri"/>
                <w:i/>
                <w:sz w:val="20"/>
                <w:szCs w:val="20"/>
                <w:highlight w:val="lightGray"/>
              </w:rPr>
              <w:t xml:space="preserve">When </w:t>
            </w:r>
            <w:r w:rsidRPr="009A4E11">
              <w:rPr>
                <w:rFonts w:eastAsia="Calibri"/>
                <w:i/>
                <w:sz w:val="20"/>
                <w:szCs w:val="20"/>
                <w:highlight w:val="lightGray"/>
              </w:rPr>
              <w:t>prior period grades are not available at the time we must issue a voucher for upcoming courses, check the most recent period’s grades before allowing continuing financial aid</w:t>
            </w:r>
            <w:r w:rsidRPr="009A4E11">
              <w:rPr>
                <w:rFonts w:eastAsia="Calibri"/>
                <w:sz w:val="20"/>
                <w:szCs w:val="20"/>
                <w:highlight w:val="lightGray"/>
              </w:rPr>
              <w:t>.</w:t>
            </w:r>
            <w:r>
              <w:rPr>
                <w:rFonts w:eastAsia="Calibri"/>
                <w:sz w:val="22"/>
                <w:szCs w:val="22"/>
              </w:rPr>
              <w:t xml:space="preserve">   </w:t>
            </w:r>
          </w:p>
          <w:p w:rsidR="009D246F" w:rsidRPr="00FE42C2" w:rsidRDefault="0004207A" w:rsidP="0004207A">
            <w:pPr>
              <w:pStyle w:val="ListParagraph"/>
              <w:numPr>
                <w:ilvl w:val="0"/>
                <w:numId w:val="6"/>
              </w:numPr>
              <w:autoSpaceDE w:val="0"/>
              <w:autoSpaceDN w:val="0"/>
              <w:adjustRightInd w:val="0"/>
              <w:spacing w:before="0"/>
              <w:ind w:left="346"/>
              <w:rPr>
                <w:rFonts w:eastAsia="Calibri"/>
                <w:sz w:val="22"/>
                <w:szCs w:val="22"/>
              </w:rPr>
            </w:pPr>
            <w:r w:rsidRPr="00D86552">
              <w:rPr>
                <w:rFonts w:eastAsia="Calibri"/>
                <w:sz w:val="22"/>
                <w:szCs w:val="22"/>
                <w:highlight w:val="lightGray"/>
              </w:rPr>
              <w:t>Only</w:t>
            </w:r>
            <w:r>
              <w:rPr>
                <w:rFonts w:eastAsia="Calibri"/>
                <w:sz w:val="22"/>
                <w:szCs w:val="22"/>
              </w:rPr>
              <w:t xml:space="preserve"> a</w:t>
            </w:r>
            <w:r w:rsidR="009D246F" w:rsidRPr="00FE42C2">
              <w:rPr>
                <w:rFonts w:eastAsia="Calibri"/>
                <w:sz w:val="22"/>
                <w:szCs w:val="22"/>
              </w:rPr>
              <w:t xml:space="preserve">n office manager may allow exceptions to the reporting requirements for extraordinary personal circumstances.  The manager must document each exception and explain the reason for each exception in a counselor note.  </w:t>
            </w:r>
          </w:p>
        </w:tc>
        <w:tc>
          <w:tcPr>
            <w:tcW w:w="3510" w:type="dxa"/>
          </w:tcPr>
          <w:p w:rsidR="009D246F" w:rsidRDefault="009D246F" w:rsidP="00FE42C2">
            <w:pPr>
              <w:pStyle w:val="ListParagraph"/>
              <w:numPr>
                <w:ilvl w:val="0"/>
                <w:numId w:val="12"/>
              </w:numPr>
              <w:autoSpaceDE w:val="0"/>
              <w:autoSpaceDN w:val="0"/>
              <w:adjustRightInd w:val="0"/>
              <w:spacing w:before="0" w:after="0"/>
              <w:ind w:left="346" w:hanging="346"/>
              <w:rPr>
                <w:rFonts w:eastAsia="Calibri"/>
                <w:sz w:val="22"/>
                <w:szCs w:val="22"/>
              </w:rPr>
            </w:pPr>
            <w:r w:rsidRPr="00FE42C2">
              <w:rPr>
                <w:rFonts w:eastAsia="Calibri"/>
                <w:sz w:val="22"/>
                <w:szCs w:val="22"/>
              </w:rPr>
              <w:t xml:space="preserve">Staff will void all future commitments for a student who does not have a C (2.0) average at the end of any segment of training. </w:t>
            </w:r>
          </w:p>
          <w:p w:rsidR="003C01B1" w:rsidRDefault="003C01B1" w:rsidP="003C01B1">
            <w:pPr>
              <w:pStyle w:val="ListParagraph"/>
              <w:autoSpaceDE w:val="0"/>
              <w:autoSpaceDN w:val="0"/>
              <w:adjustRightInd w:val="0"/>
              <w:spacing w:before="0" w:after="0"/>
              <w:ind w:left="346"/>
              <w:rPr>
                <w:rFonts w:eastAsia="Calibri"/>
                <w:i/>
                <w:sz w:val="22"/>
                <w:szCs w:val="22"/>
              </w:rPr>
            </w:pPr>
          </w:p>
          <w:p w:rsidR="003C01B1" w:rsidRPr="00AA3716" w:rsidRDefault="003C01B1" w:rsidP="003C01B1">
            <w:pPr>
              <w:pStyle w:val="ListParagraph"/>
              <w:autoSpaceDE w:val="0"/>
              <w:autoSpaceDN w:val="0"/>
              <w:adjustRightInd w:val="0"/>
              <w:spacing w:before="0" w:after="0"/>
              <w:ind w:left="346"/>
              <w:rPr>
                <w:rFonts w:eastAsia="Calibri"/>
                <w:i/>
                <w:sz w:val="20"/>
                <w:szCs w:val="20"/>
              </w:rPr>
            </w:pPr>
            <w:r w:rsidRPr="009A4E11">
              <w:rPr>
                <w:rFonts w:eastAsia="Calibri"/>
                <w:i/>
                <w:sz w:val="20"/>
                <w:szCs w:val="20"/>
                <w:highlight w:val="lightGray"/>
              </w:rPr>
              <w:t>Note: The student denied for poor grades may apply again when her grades meet this standard.</w:t>
            </w:r>
            <w:r w:rsidRPr="00AA3716">
              <w:rPr>
                <w:rFonts w:eastAsia="Calibri"/>
                <w:i/>
                <w:sz w:val="20"/>
                <w:szCs w:val="20"/>
              </w:rPr>
              <w:t xml:space="preserve"> </w:t>
            </w:r>
          </w:p>
          <w:p w:rsidR="009D246F" w:rsidRPr="00FE42C2" w:rsidRDefault="009D246F" w:rsidP="00FE42C2">
            <w:pPr>
              <w:autoSpaceDE w:val="0"/>
              <w:autoSpaceDN w:val="0"/>
              <w:adjustRightInd w:val="0"/>
              <w:rPr>
                <w:rFonts w:ascii="Calibri" w:eastAsia="Calibri" w:hAnsi="Calibri"/>
                <w:sz w:val="22"/>
                <w:szCs w:val="22"/>
              </w:rPr>
            </w:pPr>
          </w:p>
          <w:p w:rsidR="009D246F" w:rsidRPr="00FE42C2" w:rsidRDefault="0004207A" w:rsidP="00FE42C2">
            <w:pPr>
              <w:pStyle w:val="ListParagraph"/>
              <w:numPr>
                <w:ilvl w:val="0"/>
                <w:numId w:val="12"/>
              </w:numPr>
              <w:autoSpaceDE w:val="0"/>
              <w:autoSpaceDN w:val="0"/>
              <w:adjustRightInd w:val="0"/>
              <w:spacing w:before="0" w:after="0"/>
              <w:ind w:left="346" w:hanging="346"/>
              <w:rPr>
                <w:rFonts w:eastAsia="Calibri"/>
                <w:sz w:val="22"/>
                <w:szCs w:val="22"/>
              </w:rPr>
            </w:pPr>
            <w:r w:rsidRPr="00D86552">
              <w:rPr>
                <w:rFonts w:eastAsia="Calibri"/>
                <w:sz w:val="22"/>
                <w:szCs w:val="22"/>
                <w:highlight w:val="lightGray"/>
              </w:rPr>
              <w:t>Only</w:t>
            </w:r>
            <w:r>
              <w:rPr>
                <w:rFonts w:eastAsia="Calibri"/>
                <w:sz w:val="22"/>
                <w:szCs w:val="22"/>
              </w:rPr>
              <w:t xml:space="preserve"> a</w:t>
            </w:r>
            <w:r w:rsidR="009D246F" w:rsidRPr="00FE42C2">
              <w:rPr>
                <w:rFonts w:eastAsia="Calibri"/>
                <w:sz w:val="22"/>
                <w:szCs w:val="22"/>
              </w:rPr>
              <w:t xml:space="preserve">n office manager may allow an exception for extraordinary personal circumstances.  The manager must document the exception in a counselor note. </w:t>
            </w:r>
          </w:p>
          <w:p w:rsidR="009D246F" w:rsidRPr="00FE42C2" w:rsidRDefault="009D246F" w:rsidP="00FE42C2">
            <w:pPr>
              <w:autoSpaceDE w:val="0"/>
              <w:autoSpaceDN w:val="0"/>
              <w:adjustRightInd w:val="0"/>
              <w:rPr>
                <w:rFonts w:eastAsia="Calibri"/>
                <w:sz w:val="22"/>
                <w:szCs w:val="22"/>
              </w:rPr>
            </w:pPr>
          </w:p>
        </w:tc>
        <w:tc>
          <w:tcPr>
            <w:tcW w:w="3780" w:type="dxa"/>
          </w:tcPr>
          <w:p w:rsidR="009D246F" w:rsidRPr="00FE42C2" w:rsidRDefault="009D246F" w:rsidP="00FE42C2">
            <w:pPr>
              <w:pStyle w:val="ListParagraph"/>
              <w:numPr>
                <w:ilvl w:val="0"/>
                <w:numId w:val="11"/>
              </w:numPr>
              <w:spacing w:before="0" w:after="0"/>
              <w:rPr>
                <w:rFonts w:eastAsia="Calibri"/>
                <w:sz w:val="22"/>
                <w:szCs w:val="22"/>
              </w:rPr>
            </w:pPr>
            <w:r w:rsidRPr="00FE42C2">
              <w:rPr>
                <w:rFonts w:eastAsia="Calibri"/>
                <w:sz w:val="22"/>
                <w:szCs w:val="22"/>
              </w:rPr>
              <w:t xml:space="preserve">A student who drops a class after the final drop date will not receive further scholarship financial aid for a full year. </w:t>
            </w:r>
          </w:p>
          <w:p w:rsidR="009D246F" w:rsidRPr="00FE42C2" w:rsidRDefault="009D246F" w:rsidP="009A59DC">
            <w:pPr>
              <w:rPr>
                <w:rFonts w:ascii="Calibri" w:eastAsia="Calibri" w:hAnsi="Calibri"/>
                <w:sz w:val="22"/>
                <w:szCs w:val="22"/>
              </w:rPr>
            </w:pPr>
          </w:p>
          <w:p w:rsidR="009D246F" w:rsidRPr="00FE42C2" w:rsidRDefault="00EE2414" w:rsidP="00FE42C2">
            <w:pPr>
              <w:pStyle w:val="ListParagraph"/>
              <w:numPr>
                <w:ilvl w:val="0"/>
                <w:numId w:val="11"/>
              </w:numPr>
              <w:spacing w:before="0" w:after="0"/>
              <w:rPr>
                <w:rFonts w:eastAsia="Calibri"/>
                <w:sz w:val="22"/>
                <w:szCs w:val="22"/>
              </w:rPr>
            </w:pPr>
            <w:r>
              <w:rPr>
                <w:rFonts w:eastAsia="Calibri"/>
                <w:sz w:val="22"/>
                <w:szCs w:val="22"/>
              </w:rPr>
              <w:t>Only a</w:t>
            </w:r>
            <w:r w:rsidR="009D246F" w:rsidRPr="00FE42C2">
              <w:rPr>
                <w:rFonts w:eastAsia="Calibri"/>
                <w:sz w:val="22"/>
                <w:szCs w:val="22"/>
              </w:rPr>
              <w:t>n office manager may allow an exception for late drops for extraordinary circumstances.  The manager must document and explain the exception in a counselor note.</w:t>
            </w:r>
          </w:p>
          <w:p w:rsidR="009D246F" w:rsidRPr="00FE42C2" w:rsidRDefault="009D246F" w:rsidP="00FE42C2">
            <w:pPr>
              <w:autoSpaceDE w:val="0"/>
              <w:autoSpaceDN w:val="0"/>
              <w:adjustRightInd w:val="0"/>
              <w:rPr>
                <w:rFonts w:eastAsia="Calibri"/>
                <w:sz w:val="22"/>
                <w:szCs w:val="22"/>
              </w:rPr>
            </w:pPr>
          </w:p>
        </w:tc>
      </w:tr>
      <w:tr w:rsidR="009D246F" w:rsidTr="00D0353C">
        <w:trPr>
          <w:cantSplit/>
          <w:trHeight w:val="845"/>
        </w:trPr>
        <w:tc>
          <w:tcPr>
            <w:tcW w:w="1818" w:type="dxa"/>
            <w:vMerge/>
            <w:vAlign w:val="center"/>
          </w:tcPr>
          <w:p w:rsidR="009D246F" w:rsidRPr="00FE42C2" w:rsidRDefault="009D246F" w:rsidP="00FE42C2">
            <w:pPr>
              <w:autoSpaceDE w:val="0"/>
              <w:autoSpaceDN w:val="0"/>
              <w:adjustRightInd w:val="0"/>
              <w:jc w:val="center"/>
              <w:rPr>
                <w:rFonts w:ascii="Calibri" w:eastAsia="Calibri" w:hAnsi="Calibri"/>
                <w:sz w:val="22"/>
                <w:szCs w:val="22"/>
              </w:rPr>
            </w:pPr>
          </w:p>
        </w:tc>
        <w:tc>
          <w:tcPr>
            <w:tcW w:w="11430" w:type="dxa"/>
            <w:gridSpan w:val="3"/>
            <w:vAlign w:val="center"/>
          </w:tcPr>
          <w:p w:rsidR="009D246F" w:rsidRPr="00FE42C2" w:rsidRDefault="009D246F" w:rsidP="00FE42C2">
            <w:pPr>
              <w:autoSpaceDE w:val="0"/>
              <w:autoSpaceDN w:val="0"/>
              <w:adjustRightInd w:val="0"/>
              <w:rPr>
                <w:rFonts w:ascii="Calibri" w:eastAsia="Calibri" w:hAnsi="Calibri"/>
                <w:sz w:val="22"/>
                <w:szCs w:val="22"/>
              </w:rPr>
            </w:pPr>
            <w:r w:rsidRPr="00FE42C2">
              <w:rPr>
                <w:rFonts w:eastAsia="Calibri"/>
                <w:sz w:val="22"/>
                <w:szCs w:val="22"/>
              </w:rPr>
              <w:t xml:space="preserve">Staff may not penalize a customer for not meeting any of these requirements </w:t>
            </w:r>
            <w:r w:rsidR="0059645C" w:rsidRPr="00FE42C2">
              <w:rPr>
                <w:rFonts w:eastAsia="Calibri"/>
                <w:sz w:val="22"/>
                <w:szCs w:val="22"/>
              </w:rPr>
              <w:t>until there is a signed award letter in the office files indicating the customer has been apprised of the requirements and possible penalties.</w:t>
            </w:r>
          </w:p>
        </w:tc>
      </w:tr>
      <w:tr w:rsidR="009D246F" w:rsidTr="00FE42C2">
        <w:trPr>
          <w:cantSplit/>
        </w:trPr>
        <w:tc>
          <w:tcPr>
            <w:tcW w:w="1818" w:type="dxa"/>
            <w:vAlign w:val="center"/>
          </w:tcPr>
          <w:p w:rsidR="009D246F" w:rsidRPr="00FE42C2" w:rsidRDefault="009D246F" w:rsidP="00FE42C2">
            <w:pPr>
              <w:autoSpaceDE w:val="0"/>
              <w:autoSpaceDN w:val="0"/>
              <w:adjustRightInd w:val="0"/>
              <w:jc w:val="center"/>
              <w:rPr>
                <w:rFonts w:eastAsia="Calibri"/>
                <w:sz w:val="22"/>
                <w:szCs w:val="22"/>
              </w:rPr>
            </w:pPr>
            <w:r w:rsidRPr="00FE42C2">
              <w:rPr>
                <w:rFonts w:eastAsia="Calibri"/>
                <w:sz w:val="22"/>
                <w:szCs w:val="22"/>
              </w:rPr>
              <w:t>Notification</w:t>
            </w:r>
          </w:p>
        </w:tc>
        <w:tc>
          <w:tcPr>
            <w:tcW w:w="11430" w:type="dxa"/>
            <w:gridSpan w:val="3"/>
          </w:tcPr>
          <w:p w:rsidR="009D246F" w:rsidRPr="00FE42C2" w:rsidRDefault="009D246F" w:rsidP="00FE42C2">
            <w:pPr>
              <w:autoSpaceDE w:val="0"/>
              <w:autoSpaceDN w:val="0"/>
              <w:adjustRightInd w:val="0"/>
              <w:spacing w:after="120"/>
              <w:rPr>
                <w:rFonts w:eastAsia="Calibri"/>
              </w:rPr>
            </w:pPr>
            <w:r w:rsidRPr="00FE42C2">
              <w:rPr>
                <w:rFonts w:eastAsia="Calibri"/>
              </w:rPr>
              <w:t>We will include these requirements in the</w:t>
            </w:r>
            <w:r w:rsidR="0059645C" w:rsidRPr="00FE42C2">
              <w:rPr>
                <w:rFonts w:eastAsia="Calibri"/>
              </w:rPr>
              <w:t xml:space="preserve"> award</w:t>
            </w:r>
            <w:r w:rsidRPr="00FE42C2">
              <w:rPr>
                <w:rFonts w:eastAsia="Calibri"/>
              </w:rPr>
              <w:t xml:space="preserve"> letter authorizing a scholarship and related education expenses.</w:t>
            </w:r>
          </w:p>
        </w:tc>
      </w:tr>
      <w:tr w:rsidR="009D246F" w:rsidRPr="009D246F" w:rsidTr="00FE42C2">
        <w:tc>
          <w:tcPr>
            <w:tcW w:w="1818" w:type="dxa"/>
            <w:vAlign w:val="center"/>
          </w:tcPr>
          <w:p w:rsidR="009D246F" w:rsidRPr="00FE42C2" w:rsidRDefault="009D246F" w:rsidP="00FE42C2">
            <w:pPr>
              <w:autoSpaceDE w:val="0"/>
              <w:autoSpaceDN w:val="0"/>
              <w:adjustRightInd w:val="0"/>
              <w:jc w:val="center"/>
              <w:rPr>
                <w:rFonts w:eastAsia="Calibri"/>
                <w:sz w:val="22"/>
                <w:szCs w:val="22"/>
              </w:rPr>
            </w:pPr>
            <w:r w:rsidRPr="00FE42C2">
              <w:rPr>
                <w:rFonts w:eastAsia="Calibri"/>
                <w:sz w:val="22"/>
                <w:szCs w:val="22"/>
              </w:rPr>
              <w:t>Appeals</w:t>
            </w:r>
          </w:p>
        </w:tc>
        <w:tc>
          <w:tcPr>
            <w:tcW w:w="11430" w:type="dxa"/>
            <w:gridSpan w:val="3"/>
          </w:tcPr>
          <w:p w:rsidR="009D246F" w:rsidRPr="00FE42C2" w:rsidRDefault="009D246F" w:rsidP="00C85B91">
            <w:pPr>
              <w:rPr>
                <w:rFonts w:eastAsia="Calibri"/>
                <w:sz w:val="22"/>
                <w:szCs w:val="22"/>
              </w:rPr>
            </w:pPr>
            <w:r w:rsidRPr="00FE42C2">
              <w:rPr>
                <w:rFonts w:eastAsia="Calibri"/>
                <w:sz w:val="22"/>
                <w:szCs w:val="22"/>
              </w:rPr>
              <w:t>Customers tagged as WIA Adult, WIA Dislocated Worker, WIA Youth, TANF/Choices, TANF/NCP</w:t>
            </w:r>
            <w:r w:rsidR="00C85B91" w:rsidRPr="00FE42C2">
              <w:rPr>
                <w:rFonts w:eastAsia="Calibri"/>
                <w:sz w:val="22"/>
                <w:szCs w:val="22"/>
              </w:rPr>
              <w:t>, CCDF</w:t>
            </w:r>
            <w:r w:rsidRPr="00FE42C2">
              <w:rPr>
                <w:rFonts w:eastAsia="Calibri"/>
                <w:sz w:val="22"/>
                <w:szCs w:val="22"/>
              </w:rPr>
              <w:t xml:space="preserve"> </w:t>
            </w:r>
            <w:r w:rsidR="00C85B91" w:rsidRPr="00FE42C2">
              <w:rPr>
                <w:rFonts w:eastAsia="Calibri"/>
                <w:sz w:val="22"/>
                <w:szCs w:val="22"/>
              </w:rPr>
              <w:t>or</w:t>
            </w:r>
            <w:r w:rsidRPr="00FE42C2">
              <w:rPr>
                <w:rFonts w:eastAsia="Calibri"/>
                <w:sz w:val="22"/>
                <w:szCs w:val="22"/>
              </w:rPr>
              <w:t xml:space="preserve"> SNAP E&amp;T may appeal the denial of financial aid using the Workforce Solutions appeals process.</w:t>
            </w:r>
          </w:p>
        </w:tc>
      </w:tr>
    </w:tbl>
    <w:p w:rsidR="00D3519B" w:rsidRDefault="00D3519B" w:rsidP="00D0353C">
      <w:pPr>
        <w:autoSpaceDE w:val="0"/>
        <w:autoSpaceDN w:val="0"/>
        <w:adjustRightInd w:val="0"/>
      </w:pPr>
    </w:p>
    <w:sectPr w:rsidR="00D3519B" w:rsidSect="00B013FA">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3F" w:rsidRDefault="00767C3F" w:rsidP="00EA5834">
      <w:r>
        <w:separator/>
      </w:r>
    </w:p>
  </w:endnote>
  <w:endnote w:type="continuationSeparator" w:id="0">
    <w:p w:rsidR="00767C3F" w:rsidRDefault="00767C3F" w:rsidP="00EA5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7F" w:rsidRDefault="00CE05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11" w:rsidRDefault="00BB0801" w:rsidP="00BB0801">
    <w:pPr>
      <w:pStyle w:val="Footer"/>
      <w:jc w:val="right"/>
    </w:pPr>
    <w:r>
      <w:t xml:space="preserve">WS </w:t>
    </w:r>
    <w:r w:rsidR="002E02C5">
      <w:t>13-</w:t>
    </w:r>
    <w:r w:rsidR="00CC4CC2">
      <w:t>12</w:t>
    </w:r>
    <w:r>
      <w:t xml:space="preserve"> Managing Financial Aid/Continued Funding</w:t>
    </w:r>
  </w:p>
  <w:p w:rsidR="00BB0801" w:rsidRDefault="002E02C5" w:rsidP="00BB0801">
    <w:pPr>
      <w:pStyle w:val="Footer"/>
      <w:jc w:val="right"/>
    </w:pPr>
    <w:r>
      <w:t xml:space="preserve">March </w:t>
    </w:r>
    <w:r w:rsidR="00CC4CC2">
      <w:t>19</w:t>
    </w:r>
    <w:r>
      <w:t>,</w:t>
    </w:r>
    <w:r w:rsidR="00BB0801">
      <w:t xml:space="preserve"> 201</w:t>
    </w:r>
    <w:r>
      <w:t>3</w:t>
    </w:r>
    <w:r w:rsidR="00BB0801">
      <w:t xml:space="preserve">—Page </w:t>
    </w:r>
    <w:fldSimple w:instr=" PAGE   \* MERGEFORMAT ">
      <w:r w:rsidR="0019488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7F" w:rsidRDefault="00CE05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58" w:rsidRDefault="00A10609" w:rsidP="00C52A58">
    <w:pPr>
      <w:pStyle w:val="Footer"/>
      <w:jc w:val="right"/>
    </w:pPr>
    <w:r>
      <w:t>1</w:t>
    </w:r>
    <w:r w:rsidR="00D0353C">
      <w:t>3</w:t>
    </w:r>
    <w:r w:rsidR="00704F67">
      <w:t>-</w:t>
    </w:r>
    <w:r>
      <w:t>12</w:t>
    </w:r>
    <w:r w:rsidR="00936625">
      <w:t xml:space="preserve"> </w:t>
    </w:r>
    <w:r w:rsidR="00C52A58">
      <w:t>Managing Financial Aid/Continued Funding</w:t>
    </w:r>
  </w:p>
  <w:p w:rsidR="00C52A58" w:rsidRDefault="00C52A58" w:rsidP="00C52A58">
    <w:pPr>
      <w:pStyle w:val="Footer"/>
      <w:jc w:val="right"/>
    </w:pPr>
    <w:r>
      <w:t xml:space="preserve">Attachment 1:  Customer Requirements for Continued Scholarship Funding—Page </w:t>
    </w:r>
    <w:fldSimple w:instr=" PAGE   \* MERGEFORMAT ">
      <w:r w:rsidR="00194888">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3F" w:rsidRDefault="00767C3F" w:rsidP="00EA5834">
      <w:r>
        <w:separator/>
      </w:r>
    </w:p>
  </w:footnote>
  <w:footnote w:type="continuationSeparator" w:id="0">
    <w:p w:rsidR="00767C3F" w:rsidRDefault="00767C3F" w:rsidP="00EA5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7F" w:rsidRDefault="00CE05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7F" w:rsidRDefault="00CE05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7F" w:rsidRDefault="00CE0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3FB"/>
    <w:multiLevelType w:val="hybridMultilevel"/>
    <w:tmpl w:val="AF8CFB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B01A8"/>
    <w:multiLevelType w:val="hybridMultilevel"/>
    <w:tmpl w:val="78AC0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792932"/>
    <w:multiLevelType w:val="hybridMultilevel"/>
    <w:tmpl w:val="535095EC"/>
    <w:lvl w:ilvl="0" w:tplc="04090019">
      <w:start w:val="1"/>
      <w:numFmt w:val="lowerLetter"/>
      <w:lvlText w:val="%1."/>
      <w:lvlJc w:val="left"/>
      <w:pPr>
        <w:ind w:left="1043" w:hanging="360"/>
      </w:p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3">
    <w:nsid w:val="184253B5"/>
    <w:multiLevelType w:val="hybridMultilevel"/>
    <w:tmpl w:val="361C22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F623A"/>
    <w:multiLevelType w:val="hybridMultilevel"/>
    <w:tmpl w:val="2996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30178"/>
    <w:multiLevelType w:val="hybridMultilevel"/>
    <w:tmpl w:val="18CCA9B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48EC460D"/>
    <w:multiLevelType w:val="hybridMultilevel"/>
    <w:tmpl w:val="58844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F62EC"/>
    <w:multiLevelType w:val="hybridMultilevel"/>
    <w:tmpl w:val="1BCE03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75ABF"/>
    <w:multiLevelType w:val="hybridMultilevel"/>
    <w:tmpl w:val="43BA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58150F"/>
    <w:multiLevelType w:val="hybridMultilevel"/>
    <w:tmpl w:val="261C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894330"/>
    <w:multiLevelType w:val="hybridMultilevel"/>
    <w:tmpl w:val="4FE456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F3B95"/>
    <w:multiLevelType w:val="hybridMultilevel"/>
    <w:tmpl w:val="156E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F56FE"/>
    <w:multiLevelType w:val="hybridMultilevel"/>
    <w:tmpl w:val="E74E24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32022"/>
    <w:multiLevelType w:val="hybridMultilevel"/>
    <w:tmpl w:val="FAB24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23383"/>
    <w:multiLevelType w:val="hybridMultilevel"/>
    <w:tmpl w:val="A782CCF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nsid w:val="77FC53D1"/>
    <w:multiLevelType w:val="hybridMultilevel"/>
    <w:tmpl w:val="8A4A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B742C"/>
    <w:multiLevelType w:val="hybridMultilevel"/>
    <w:tmpl w:val="E4C0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D07957"/>
    <w:multiLevelType w:val="hybridMultilevel"/>
    <w:tmpl w:val="969A23A4"/>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nsid w:val="7DD642E4"/>
    <w:multiLevelType w:val="hybridMultilevel"/>
    <w:tmpl w:val="D964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91E78"/>
    <w:multiLevelType w:val="hybridMultilevel"/>
    <w:tmpl w:val="895A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5"/>
  </w:num>
  <w:num w:numId="4">
    <w:abstractNumId w:val="13"/>
  </w:num>
  <w:num w:numId="5">
    <w:abstractNumId w:val="17"/>
  </w:num>
  <w:num w:numId="6">
    <w:abstractNumId w:val="19"/>
  </w:num>
  <w:num w:numId="7">
    <w:abstractNumId w:val="3"/>
  </w:num>
  <w:num w:numId="8">
    <w:abstractNumId w:val="2"/>
  </w:num>
  <w:num w:numId="9">
    <w:abstractNumId w:val="0"/>
  </w:num>
  <w:num w:numId="10">
    <w:abstractNumId w:val="6"/>
  </w:num>
  <w:num w:numId="11">
    <w:abstractNumId w:val="12"/>
  </w:num>
  <w:num w:numId="12">
    <w:abstractNumId w:val="8"/>
  </w:num>
  <w:num w:numId="13">
    <w:abstractNumId w:val="4"/>
  </w:num>
  <w:num w:numId="14">
    <w:abstractNumId w:val="10"/>
  </w:num>
  <w:num w:numId="15">
    <w:abstractNumId w:val="14"/>
  </w:num>
  <w:num w:numId="16">
    <w:abstractNumId w:val="15"/>
  </w:num>
  <w:num w:numId="17">
    <w:abstractNumId w:val="11"/>
  </w:num>
  <w:num w:numId="18">
    <w:abstractNumId w:val="1"/>
  </w:num>
  <w:num w:numId="19">
    <w:abstractNumId w:val="9"/>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rsids>
    <w:rsidRoot w:val="00964DAB"/>
    <w:rsid w:val="00002753"/>
    <w:rsid w:val="0000283D"/>
    <w:rsid w:val="000056E1"/>
    <w:rsid w:val="000079A3"/>
    <w:rsid w:val="00010FF8"/>
    <w:rsid w:val="00015EA7"/>
    <w:rsid w:val="00021645"/>
    <w:rsid w:val="00033618"/>
    <w:rsid w:val="000347CE"/>
    <w:rsid w:val="00034CE6"/>
    <w:rsid w:val="00035893"/>
    <w:rsid w:val="00037EEB"/>
    <w:rsid w:val="00040D8E"/>
    <w:rsid w:val="0004131D"/>
    <w:rsid w:val="0004207A"/>
    <w:rsid w:val="00042B90"/>
    <w:rsid w:val="000446DF"/>
    <w:rsid w:val="00045AAE"/>
    <w:rsid w:val="00051B67"/>
    <w:rsid w:val="000532BF"/>
    <w:rsid w:val="00054F8A"/>
    <w:rsid w:val="000700F3"/>
    <w:rsid w:val="00071B65"/>
    <w:rsid w:val="00071D77"/>
    <w:rsid w:val="0007410E"/>
    <w:rsid w:val="0007569E"/>
    <w:rsid w:val="00076A6F"/>
    <w:rsid w:val="000811ED"/>
    <w:rsid w:val="0008417A"/>
    <w:rsid w:val="00086802"/>
    <w:rsid w:val="000902F4"/>
    <w:rsid w:val="000977D0"/>
    <w:rsid w:val="00097E8C"/>
    <w:rsid w:val="000A10A0"/>
    <w:rsid w:val="000A2064"/>
    <w:rsid w:val="000A3AF8"/>
    <w:rsid w:val="000A5947"/>
    <w:rsid w:val="000A5D16"/>
    <w:rsid w:val="000C07B5"/>
    <w:rsid w:val="000C327B"/>
    <w:rsid w:val="000C5CD0"/>
    <w:rsid w:val="000C6C20"/>
    <w:rsid w:val="000C736D"/>
    <w:rsid w:val="000D34D3"/>
    <w:rsid w:val="000D5D85"/>
    <w:rsid w:val="000D7576"/>
    <w:rsid w:val="000E14FC"/>
    <w:rsid w:val="000E28B7"/>
    <w:rsid w:val="000E3649"/>
    <w:rsid w:val="000E4E15"/>
    <w:rsid w:val="000E5733"/>
    <w:rsid w:val="000F072F"/>
    <w:rsid w:val="000F2B2D"/>
    <w:rsid w:val="000F3C62"/>
    <w:rsid w:val="000F4200"/>
    <w:rsid w:val="00102713"/>
    <w:rsid w:val="00103489"/>
    <w:rsid w:val="00103549"/>
    <w:rsid w:val="00104D2C"/>
    <w:rsid w:val="00104FA6"/>
    <w:rsid w:val="001072FC"/>
    <w:rsid w:val="001106FC"/>
    <w:rsid w:val="0011129F"/>
    <w:rsid w:val="0011347F"/>
    <w:rsid w:val="00121BC3"/>
    <w:rsid w:val="00121DD7"/>
    <w:rsid w:val="00124498"/>
    <w:rsid w:val="001245E3"/>
    <w:rsid w:val="00131A81"/>
    <w:rsid w:val="00135B87"/>
    <w:rsid w:val="00140E23"/>
    <w:rsid w:val="0014710A"/>
    <w:rsid w:val="001531EC"/>
    <w:rsid w:val="0015766E"/>
    <w:rsid w:val="001578AC"/>
    <w:rsid w:val="00161DFE"/>
    <w:rsid w:val="00166753"/>
    <w:rsid w:val="00166DA2"/>
    <w:rsid w:val="001725D9"/>
    <w:rsid w:val="00173C43"/>
    <w:rsid w:val="001759A9"/>
    <w:rsid w:val="00176EAE"/>
    <w:rsid w:val="00181788"/>
    <w:rsid w:val="00182B67"/>
    <w:rsid w:val="00183649"/>
    <w:rsid w:val="001917BF"/>
    <w:rsid w:val="001938CD"/>
    <w:rsid w:val="00194888"/>
    <w:rsid w:val="00196C9C"/>
    <w:rsid w:val="001A1122"/>
    <w:rsid w:val="001A1D6A"/>
    <w:rsid w:val="001A3686"/>
    <w:rsid w:val="001B0BDD"/>
    <w:rsid w:val="001B0BEC"/>
    <w:rsid w:val="001B25DB"/>
    <w:rsid w:val="001B262D"/>
    <w:rsid w:val="001B53E6"/>
    <w:rsid w:val="001B645E"/>
    <w:rsid w:val="001B649E"/>
    <w:rsid w:val="001C3166"/>
    <w:rsid w:val="001C4A11"/>
    <w:rsid w:val="001D317E"/>
    <w:rsid w:val="001E2FF3"/>
    <w:rsid w:val="001E34C1"/>
    <w:rsid w:val="001E38B7"/>
    <w:rsid w:val="001E3C4A"/>
    <w:rsid w:val="001E3F47"/>
    <w:rsid w:val="001E6094"/>
    <w:rsid w:val="001E6512"/>
    <w:rsid w:val="001E6716"/>
    <w:rsid w:val="001E7E7D"/>
    <w:rsid w:val="001F53EC"/>
    <w:rsid w:val="001F644E"/>
    <w:rsid w:val="00204379"/>
    <w:rsid w:val="00204B44"/>
    <w:rsid w:val="0020555E"/>
    <w:rsid w:val="00206F51"/>
    <w:rsid w:val="00212F6F"/>
    <w:rsid w:val="00214794"/>
    <w:rsid w:val="0021527B"/>
    <w:rsid w:val="0022658E"/>
    <w:rsid w:val="00227F0E"/>
    <w:rsid w:val="00230C55"/>
    <w:rsid w:val="002336E4"/>
    <w:rsid w:val="00233E97"/>
    <w:rsid w:val="00234489"/>
    <w:rsid w:val="00236183"/>
    <w:rsid w:val="002363F7"/>
    <w:rsid w:val="00242556"/>
    <w:rsid w:val="00245A3A"/>
    <w:rsid w:val="00246A06"/>
    <w:rsid w:val="00254D52"/>
    <w:rsid w:val="0025629E"/>
    <w:rsid w:val="0025785E"/>
    <w:rsid w:val="002578F9"/>
    <w:rsid w:val="00262C77"/>
    <w:rsid w:val="002649DF"/>
    <w:rsid w:val="00266978"/>
    <w:rsid w:val="0027669E"/>
    <w:rsid w:val="00276D37"/>
    <w:rsid w:val="002777CF"/>
    <w:rsid w:val="00277AB0"/>
    <w:rsid w:val="00282078"/>
    <w:rsid w:val="002826B3"/>
    <w:rsid w:val="0028594A"/>
    <w:rsid w:val="002859DF"/>
    <w:rsid w:val="00286896"/>
    <w:rsid w:val="00294D29"/>
    <w:rsid w:val="002961B2"/>
    <w:rsid w:val="00296574"/>
    <w:rsid w:val="002A3DBF"/>
    <w:rsid w:val="002A518C"/>
    <w:rsid w:val="002A6164"/>
    <w:rsid w:val="002A6EA7"/>
    <w:rsid w:val="002B02F9"/>
    <w:rsid w:val="002B4E4E"/>
    <w:rsid w:val="002B5164"/>
    <w:rsid w:val="002C0946"/>
    <w:rsid w:val="002C18DC"/>
    <w:rsid w:val="002D1810"/>
    <w:rsid w:val="002D4137"/>
    <w:rsid w:val="002D5BB0"/>
    <w:rsid w:val="002E02C5"/>
    <w:rsid w:val="002E2D9B"/>
    <w:rsid w:val="002E409D"/>
    <w:rsid w:val="002E56C6"/>
    <w:rsid w:val="002E5DCD"/>
    <w:rsid w:val="002E66B0"/>
    <w:rsid w:val="002F012B"/>
    <w:rsid w:val="002F0543"/>
    <w:rsid w:val="002F05CD"/>
    <w:rsid w:val="002F1E40"/>
    <w:rsid w:val="002F2027"/>
    <w:rsid w:val="002F4FA1"/>
    <w:rsid w:val="002F7719"/>
    <w:rsid w:val="00301AA4"/>
    <w:rsid w:val="00304438"/>
    <w:rsid w:val="00313BD1"/>
    <w:rsid w:val="00316587"/>
    <w:rsid w:val="003207E9"/>
    <w:rsid w:val="003208C5"/>
    <w:rsid w:val="00322AFF"/>
    <w:rsid w:val="003279F8"/>
    <w:rsid w:val="0033115B"/>
    <w:rsid w:val="00331F5A"/>
    <w:rsid w:val="00332CD4"/>
    <w:rsid w:val="00333F5D"/>
    <w:rsid w:val="00333FAA"/>
    <w:rsid w:val="00340158"/>
    <w:rsid w:val="003402DD"/>
    <w:rsid w:val="003405EF"/>
    <w:rsid w:val="00345206"/>
    <w:rsid w:val="0034562B"/>
    <w:rsid w:val="00361169"/>
    <w:rsid w:val="003618D7"/>
    <w:rsid w:val="00364AE5"/>
    <w:rsid w:val="003726FF"/>
    <w:rsid w:val="00375933"/>
    <w:rsid w:val="003777E7"/>
    <w:rsid w:val="00383C9F"/>
    <w:rsid w:val="00384D32"/>
    <w:rsid w:val="003874AB"/>
    <w:rsid w:val="00392434"/>
    <w:rsid w:val="003968B7"/>
    <w:rsid w:val="00396B69"/>
    <w:rsid w:val="003A0E45"/>
    <w:rsid w:val="003A22A5"/>
    <w:rsid w:val="003A2CBC"/>
    <w:rsid w:val="003A575B"/>
    <w:rsid w:val="003A6E66"/>
    <w:rsid w:val="003B2836"/>
    <w:rsid w:val="003B594C"/>
    <w:rsid w:val="003B7AF3"/>
    <w:rsid w:val="003C0046"/>
    <w:rsid w:val="003C01B1"/>
    <w:rsid w:val="003C0F10"/>
    <w:rsid w:val="003C1A1D"/>
    <w:rsid w:val="003D2038"/>
    <w:rsid w:val="003E12C3"/>
    <w:rsid w:val="003E1D38"/>
    <w:rsid w:val="003E6BEF"/>
    <w:rsid w:val="003F3C0E"/>
    <w:rsid w:val="003F6E71"/>
    <w:rsid w:val="003F6F03"/>
    <w:rsid w:val="003F74D1"/>
    <w:rsid w:val="003F7780"/>
    <w:rsid w:val="004035C1"/>
    <w:rsid w:val="004037F8"/>
    <w:rsid w:val="0040423D"/>
    <w:rsid w:val="0040443A"/>
    <w:rsid w:val="00405162"/>
    <w:rsid w:val="00406BF9"/>
    <w:rsid w:val="00412C31"/>
    <w:rsid w:val="00413A24"/>
    <w:rsid w:val="004144A6"/>
    <w:rsid w:val="00417586"/>
    <w:rsid w:val="00417849"/>
    <w:rsid w:val="004235D5"/>
    <w:rsid w:val="00427BC7"/>
    <w:rsid w:val="00432546"/>
    <w:rsid w:val="004345F3"/>
    <w:rsid w:val="00434C18"/>
    <w:rsid w:val="004376A4"/>
    <w:rsid w:val="004401CF"/>
    <w:rsid w:val="00441645"/>
    <w:rsid w:val="00446D30"/>
    <w:rsid w:val="00450687"/>
    <w:rsid w:val="00455CF8"/>
    <w:rsid w:val="00465333"/>
    <w:rsid w:val="0046541C"/>
    <w:rsid w:val="004666AC"/>
    <w:rsid w:val="00466A54"/>
    <w:rsid w:val="00466E07"/>
    <w:rsid w:val="0046783D"/>
    <w:rsid w:val="00470BD6"/>
    <w:rsid w:val="004712B3"/>
    <w:rsid w:val="0048211E"/>
    <w:rsid w:val="00482AAA"/>
    <w:rsid w:val="00484520"/>
    <w:rsid w:val="0048526F"/>
    <w:rsid w:val="00487744"/>
    <w:rsid w:val="0049061B"/>
    <w:rsid w:val="0049068D"/>
    <w:rsid w:val="00490C0C"/>
    <w:rsid w:val="0049520C"/>
    <w:rsid w:val="004956FE"/>
    <w:rsid w:val="00496B76"/>
    <w:rsid w:val="00497CCD"/>
    <w:rsid w:val="004A4D0A"/>
    <w:rsid w:val="004A5E2E"/>
    <w:rsid w:val="004A7750"/>
    <w:rsid w:val="004B1441"/>
    <w:rsid w:val="004B4113"/>
    <w:rsid w:val="004B5380"/>
    <w:rsid w:val="004B7284"/>
    <w:rsid w:val="004C02AA"/>
    <w:rsid w:val="004C6F9F"/>
    <w:rsid w:val="004C7445"/>
    <w:rsid w:val="004D4842"/>
    <w:rsid w:val="004E00C2"/>
    <w:rsid w:val="004E53B1"/>
    <w:rsid w:val="004E5667"/>
    <w:rsid w:val="004E65EE"/>
    <w:rsid w:val="004E687B"/>
    <w:rsid w:val="004F6905"/>
    <w:rsid w:val="00500517"/>
    <w:rsid w:val="005007DF"/>
    <w:rsid w:val="0050277D"/>
    <w:rsid w:val="00502BBD"/>
    <w:rsid w:val="005036E2"/>
    <w:rsid w:val="00504F2D"/>
    <w:rsid w:val="00506D01"/>
    <w:rsid w:val="00510033"/>
    <w:rsid w:val="00510927"/>
    <w:rsid w:val="0051392B"/>
    <w:rsid w:val="00513D49"/>
    <w:rsid w:val="00513E52"/>
    <w:rsid w:val="00515229"/>
    <w:rsid w:val="00515D8B"/>
    <w:rsid w:val="00517191"/>
    <w:rsid w:val="0052222F"/>
    <w:rsid w:val="00523509"/>
    <w:rsid w:val="00523ACB"/>
    <w:rsid w:val="005264D5"/>
    <w:rsid w:val="0053245D"/>
    <w:rsid w:val="005366A2"/>
    <w:rsid w:val="005373EF"/>
    <w:rsid w:val="00540F0E"/>
    <w:rsid w:val="00547D67"/>
    <w:rsid w:val="00552A98"/>
    <w:rsid w:val="00552CB8"/>
    <w:rsid w:val="00553D4F"/>
    <w:rsid w:val="0056123A"/>
    <w:rsid w:val="005612D3"/>
    <w:rsid w:val="00563141"/>
    <w:rsid w:val="005635AB"/>
    <w:rsid w:val="00563EB1"/>
    <w:rsid w:val="00566BAB"/>
    <w:rsid w:val="00570A0F"/>
    <w:rsid w:val="00573679"/>
    <w:rsid w:val="0057373B"/>
    <w:rsid w:val="005741D5"/>
    <w:rsid w:val="005807D4"/>
    <w:rsid w:val="0058194D"/>
    <w:rsid w:val="00582E2E"/>
    <w:rsid w:val="00585F8F"/>
    <w:rsid w:val="00591261"/>
    <w:rsid w:val="005922A3"/>
    <w:rsid w:val="005955F4"/>
    <w:rsid w:val="00595F93"/>
    <w:rsid w:val="0059645C"/>
    <w:rsid w:val="00597C6A"/>
    <w:rsid w:val="005A36E0"/>
    <w:rsid w:val="005A4270"/>
    <w:rsid w:val="005A6559"/>
    <w:rsid w:val="005A74B4"/>
    <w:rsid w:val="005B0443"/>
    <w:rsid w:val="005B14D4"/>
    <w:rsid w:val="005B2D04"/>
    <w:rsid w:val="005B3142"/>
    <w:rsid w:val="005B4946"/>
    <w:rsid w:val="005B4EEC"/>
    <w:rsid w:val="005C39B1"/>
    <w:rsid w:val="005C6259"/>
    <w:rsid w:val="005D1C25"/>
    <w:rsid w:val="005D3F32"/>
    <w:rsid w:val="005D4374"/>
    <w:rsid w:val="005D5F70"/>
    <w:rsid w:val="005D69C1"/>
    <w:rsid w:val="005D6A87"/>
    <w:rsid w:val="005E133D"/>
    <w:rsid w:val="005E1919"/>
    <w:rsid w:val="005E2112"/>
    <w:rsid w:val="005F592F"/>
    <w:rsid w:val="005F6526"/>
    <w:rsid w:val="005F6F58"/>
    <w:rsid w:val="00602C6D"/>
    <w:rsid w:val="00612374"/>
    <w:rsid w:val="00615503"/>
    <w:rsid w:val="006205AC"/>
    <w:rsid w:val="00622098"/>
    <w:rsid w:val="00622EFD"/>
    <w:rsid w:val="00631E24"/>
    <w:rsid w:val="00635FF3"/>
    <w:rsid w:val="006418A4"/>
    <w:rsid w:val="00643AA1"/>
    <w:rsid w:val="006538AC"/>
    <w:rsid w:val="00653CF8"/>
    <w:rsid w:val="006600B8"/>
    <w:rsid w:val="00663575"/>
    <w:rsid w:val="006645AF"/>
    <w:rsid w:val="006670BB"/>
    <w:rsid w:val="00672A4E"/>
    <w:rsid w:val="00673CFA"/>
    <w:rsid w:val="006744C1"/>
    <w:rsid w:val="00674AD3"/>
    <w:rsid w:val="00675715"/>
    <w:rsid w:val="00677785"/>
    <w:rsid w:val="006866E4"/>
    <w:rsid w:val="00691BE1"/>
    <w:rsid w:val="00693F7E"/>
    <w:rsid w:val="00695509"/>
    <w:rsid w:val="006974B8"/>
    <w:rsid w:val="006A0B29"/>
    <w:rsid w:val="006A427B"/>
    <w:rsid w:val="006A5238"/>
    <w:rsid w:val="006A5F17"/>
    <w:rsid w:val="006B1C79"/>
    <w:rsid w:val="006B30F8"/>
    <w:rsid w:val="006B3DDF"/>
    <w:rsid w:val="006B4CA4"/>
    <w:rsid w:val="006B5779"/>
    <w:rsid w:val="006B6966"/>
    <w:rsid w:val="006C144F"/>
    <w:rsid w:val="006C2AC2"/>
    <w:rsid w:val="006C3832"/>
    <w:rsid w:val="006C401A"/>
    <w:rsid w:val="006C60A0"/>
    <w:rsid w:val="006C6E6A"/>
    <w:rsid w:val="006C79A3"/>
    <w:rsid w:val="006D49D3"/>
    <w:rsid w:val="006D4EC6"/>
    <w:rsid w:val="006D6544"/>
    <w:rsid w:val="006E08BA"/>
    <w:rsid w:val="006E4BFC"/>
    <w:rsid w:val="006F1A78"/>
    <w:rsid w:val="006F63C0"/>
    <w:rsid w:val="006F6C85"/>
    <w:rsid w:val="00701855"/>
    <w:rsid w:val="007022C3"/>
    <w:rsid w:val="00704F67"/>
    <w:rsid w:val="0071429B"/>
    <w:rsid w:val="0071537E"/>
    <w:rsid w:val="0072061D"/>
    <w:rsid w:val="0072099F"/>
    <w:rsid w:val="00721441"/>
    <w:rsid w:val="00721E4D"/>
    <w:rsid w:val="00722727"/>
    <w:rsid w:val="00726A2D"/>
    <w:rsid w:val="00727ED4"/>
    <w:rsid w:val="00730E72"/>
    <w:rsid w:val="0073285C"/>
    <w:rsid w:val="00732DFC"/>
    <w:rsid w:val="00735C15"/>
    <w:rsid w:val="00743028"/>
    <w:rsid w:val="00747283"/>
    <w:rsid w:val="00747627"/>
    <w:rsid w:val="00747CAF"/>
    <w:rsid w:val="00750107"/>
    <w:rsid w:val="007567BB"/>
    <w:rsid w:val="007606A0"/>
    <w:rsid w:val="0076098A"/>
    <w:rsid w:val="00762ACF"/>
    <w:rsid w:val="0076357A"/>
    <w:rsid w:val="00765FA6"/>
    <w:rsid w:val="00767391"/>
    <w:rsid w:val="00767705"/>
    <w:rsid w:val="00767C3F"/>
    <w:rsid w:val="007740D2"/>
    <w:rsid w:val="00774E81"/>
    <w:rsid w:val="00775C65"/>
    <w:rsid w:val="00775CA0"/>
    <w:rsid w:val="00777587"/>
    <w:rsid w:val="007778BA"/>
    <w:rsid w:val="00782345"/>
    <w:rsid w:val="0078385A"/>
    <w:rsid w:val="007853C8"/>
    <w:rsid w:val="00785622"/>
    <w:rsid w:val="0078592D"/>
    <w:rsid w:val="00787D66"/>
    <w:rsid w:val="0079447F"/>
    <w:rsid w:val="007A2298"/>
    <w:rsid w:val="007A473B"/>
    <w:rsid w:val="007A54D3"/>
    <w:rsid w:val="007A6E4C"/>
    <w:rsid w:val="007B028D"/>
    <w:rsid w:val="007B441F"/>
    <w:rsid w:val="007B5442"/>
    <w:rsid w:val="007B7964"/>
    <w:rsid w:val="007C0170"/>
    <w:rsid w:val="007C7341"/>
    <w:rsid w:val="007C7E98"/>
    <w:rsid w:val="007D2BAA"/>
    <w:rsid w:val="007D5B80"/>
    <w:rsid w:val="007D69D3"/>
    <w:rsid w:val="007E4AD4"/>
    <w:rsid w:val="007E4BAC"/>
    <w:rsid w:val="007E62C8"/>
    <w:rsid w:val="007E7F87"/>
    <w:rsid w:val="007F0ECD"/>
    <w:rsid w:val="007F33F3"/>
    <w:rsid w:val="007F4154"/>
    <w:rsid w:val="007F6961"/>
    <w:rsid w:val="007F716D"/>
    <w:rsid w:val="007F7D93"/>
    <w:rsid w:val="00805965"/>
    <w:rsid w:val="00806E28"/>
    <w:rsid w:val="0080761F"/>
    <w:rsid w:val="00807A7D"/>
    <w:rsid w:val="00815306"/>
    <w:rsid w:val="00816E27"/>
    <w:rsid w:val="00817E84"/>
    <w:rsid w:val="00820771"/>
    <w:rsid w:val="0082248D"/>
    <w:rsid w:val="00823E04"/>
    <w:rsid w:val="00824401"/>
    <w:rsid w:val="00824888"/>
    <w:rsid w:val="00830250"/>
    <w:rsid w:val="008330E6"/>
    <w:rsid w:val="00834766"/>
    <w:rsid w:val="00840AAF"/>
    <w:rsid w:val="008537A4"/>
    <w:rsid w:val="00864378"/>
    <w:rsid w:val="0087036E"/>
    <w:rsid w:val="00870AD1"/>
    <w:rsid w:val="00870F9F"/>
    <w:rsid w:val="0088128E"/>
    <w:rsid w:val="00882D49"/>
    <w:rsid w:val="00884B61"/>
    <w:rsid w:val="00885A0E"/>
    <w:rsid w:val="00896C34"/>
    <w:rsid w:val="008A0711"/>
    <w:rsid w:val="008A3B8A"/>
    <w:rsid w:val="008A77BD"/>
    <w:rsid w:val="008B00BF"/>
    <w:rsid w:val="008B0845"/>
    <w:rsid w:val="008B2B34"/>
    <w:rsid w:val="008B50CD"/>
    <w:rsid w:val="008C0436"/>
    <w:rsid w:val="008C0D7A"/>
    <w:rsid w:val="008C44D0"/>
    <w:rsid w:val="008C4B8C"/>
    <w:rsid w:val="008C5A55"/>
    <w:rsid w:val="008C66BB"/>
    <w:rsid w:val="008D03FD"/>
    <w:rsid w:val="008D07F2"/>
    <w:rsid w:val="008D0EE6"/>
    <w:rsid w:val="008D1B65"/>
    <w:rsid w:val="008D36DB"/>
    <w:rsid w:val="008D59F2"/>
    <w:rsid w:val="008E1F56"/>
    <w:rsid w:val="008E26CD"/>
    <w:rsid w:val="008E60C0"/>
    <w:rsid w:val="008E6327"/>
    <w:rsid w:val="008E64FA"/>
    <w:rsid w:val="008F2301"/>
    <w:rsid w:val="008F28BB"/>
    <w:rsid w:val="008F40EF"/>
    <w:rsid w:val="008F687A"/>
    <w:rsid w:val="008F7D9E"/>
    <w:rsid w:val="009029F4"/>
    <w:rsid w:val="00902B0D"/>
    <w:rsid w:val="00902BDC"/>
    <w:rsid w:val="0090390A"/>
    <w:rsid w:val="0090427D"/>
    <w:rsid w:val="00904B6F"/>
    <w:rsid w:val="00904DEE"/>
    <w:rsid w:val="00907CBD"/>
    <w:rsid w:val="00910970"/>
    <w:rsid w:val="00910CA6"/>
    <w:rsid w:val="00912726"/>
    <w:rsid w:val="009144D4"/>
    <w:rsid w:val="00915EB1"/>
    <w:rsid w:val="009166AF"/>
    <w:rsid w:val="009178B1"/>
    <w:rsid w:val="0092127C"/>
    <w:rsid w:val="00925CFC"/>
    <w:rsid w:val="00931FFF"/>
    <w:rsid w:val="009328DE"/>
    <w:rsid w:val="00936625"/>
    <w:rsid w:val="0094031A"/>
    <w:rsid w:val="009442F0"/>
    <w:rsid w:val="00945B72"/>
    <w:rsid w:val="009504A5"/>
    <w:rsid w:val="00950A36"/>
    <w:rsid w:val="00957DB8"/>
    <w:rsid w:val="009632B4"/>
    <w:rsid w:val="00964DAB"/>
    <w:rsid w:val="009650D9"/>
    <w:rsid w:val="009650FC"/>
    <w:rsid w:val="00971EAF"/>
    <w:rsid w:val="00973610"/>
    <w:rsid w:val="0097525C"/>
    <w:rsid w:val="00980202"/>
    <w:rsid w:val="00980837"/>
    <w:rsid w:val="00981C90"/>
    <w:rsid w:val="009829B7"/>
    <w:rsid w:val="009858F5"/>
    <w:rsid w:val="00985CA7"/>
    <w:rsid w:val="00990BA7"/>
    <w:rsid w:val="00995F28"/>
    <w:rsid w:val="009A03AC"/>
    <w:rsid w:val="009A24C4"/>
    <w:rsid w:val="009A277C"/>
    <w:rsid w:val="009A3E23"/>
    <w:rsid w:val="009A4E11"/>
    <w:rsid w:val="009A59DC"/>
    <w:rsid w:val="009A6F25"/>
    <w:rsid w:val="009B1876"/>
    <w:rsid w:val="009B7DEF"/>
    <w:rsid w:val="009C6B1E"/>
    <w:rsid w:val="009D0A12"/>
    <w:rsid w:val="009D246F"/>
    <w:rsid w:val="009D31E2"/>
    <w:rsid w:val="009D4A09"/>
    <w:rsid w:val="009E1F29"/>
    <w:rsid w:val="009E45A8"/>
    <w:rsid w:val="009E493F"/>
    <w:rsid w:val="009E56CB"/>
    <w:rsid w:val="009E7438"/>
    <w:rsid w:val="009F214F"/>
    <w:rsid w:val="009F51A1"/>
    <w:rsid w:val="00A039DE"/>
    <w:rsid w:val="00A04ACF"/>
    <w:rsid w:val="00A061D6"/>
    <w:rsid w:val="00A06571"/>
    <w:rsid w:val="00A06A36"/>
    <w:rsid w:val="00A10609"/>
    <w:rsid w:val="00A10692"/>
    <w:rsid w:val="00A10FA3"/>
    <w:rsid w:val="00A1305D"/>
    <w:rsid w:val="00A1313B"/>
    <w:rsid w:val="00A13C3D"/>
    <w:rsid w:val="00A153F4"/>
    <w:rsid w:val="00A15A1D"/>
    <w:rsid w:val="00A15E71"/>
    <w:rsid w:val="00A201CF"/>
    <w:rsid w:val="00A21FEA"/>
    <w:rsid w:val="00A30869"/>
    <w:rsid w:val="00A30968"/>
    <w:rsid w:val="00A32D2D"/>
    <w:rsid w:val="00A3317F"/>
    <w:rsid w:val="00A34933"/>
    <w:rsid w:val="00A34C82"/>
    <w:rsid w:val="00A35CB4"/>
    <w:rsid w:val="00A3641C"/>
    <w:rsid w:val="00A433D9"/>
    <w:rsid w:val="00A44D8A"/>
    <w:rsid w:val="00A47F95"/>
    <w:rsid w:val="00A50EC3"/>
    <w:rsid w:val="00A562A0"/>
    <w:rsid w:val="00A5780A"/>
    <w:rsid w:val="00A63E52"/>
    <w:rsid w:val="00A67AFB"/>
    <w:rsid w:val="00A70833"/>
    <w:rsid w:val="00A70EB8"/>
    <w:rsid w:val="00A775A2"/>
    <w:rsid w:val="00A77CEE"/>
    <w:rsid w:val="00A809B1"/>
    <w:rsid w:val="00A81C84"/>
    <w:rsid w:val="00A839C1"/>
    <w:rsid w:val="00A86985"/>
    <w:rsid w:val="00A9316F"/>
    <w:rsid w:val="00A93DAE"/>
    <w:rsid w:val="00AA089F"/>
    <w:rsid w:val="00AA1F54"/>
    <w:rsid w:val="00AA219C"/>
    <w:rsid w:val="00AA3716"/>
    <w:rsid w:val="00AB3B1B"/>
    <w:rsid w:val="00AB3C9F"/>
    <w:rsid w:val="00AB5167"/>
    <w:rsid w:val="00AB58C1"/>
    <w:rsid w:val="00AB6E87"/>
    <w:rsid w:val="00AB7BC8"/>
    <w:rsid w:val="00AC5008"/>
    <w:rsid w:val="00AC54E1"/>
    <w:rsid w:val="00AC60AB"/>
    <w:rsid w:val="00AC75D9"/>
    <w:rsid w:val="00AD0DD4"/>
    <w:rsid w:val="00AD0ED3"/>
    <w:rsid w:val="00AD74A8"/>
    <w:rsid w:val="00AE0CEB"/>
    <w:rsid w:val="00AE17A8"/>
    <w:rsid w:val="00AE38F3"/>
    <w:rsid w:val="00AE797A"/>
    <w:rsid w:val="00AF782E"/>
    <w:rsid w:val="00AF7CC8"/>
    <w:rsid w:val="00B00B50"/>
    <w:rsid w:val="00B00F41"/>
    <w:rsid w:val="00B013FA"/>
    <w:rsid w:val="00B03D4B"/>
    <w:rsid w:val="00B110B0"/>
    <w:rsid w:val="00B1132B"/>
    <w:rsid w:val="00B11901"/>
    <w:rsid w:val="00B1316F"/>
    <w:rsid w:val="00B15087"/>
    <w:rsid w:val="00B15399"/>
    <w:rsid w:val="00B16950"/>
    <w:rsid w:val="00B17CBB"/>
    <w:rsid w:val="00B22449"/>
    <w:rsid w:val="00B23409"/>
    <w:rsid w:val="00B2368E"/>
    <w:rsid w:val="00B239EE"/>
    <w:rsid w:val="00B26EA4"/>
    <w:rsid w:val="00B314BE"/>
    <w:rsid w:val="00B34A56"/>
    <w:rsid w:val="00B40705"/>
    <w:rsid w:val="00B40CC0"/>
    <w:rsid w:val="00B41278"/>
    <w:rsid w:val="00B436DF"/>
    <w:rsid w:val="00B448C6"/>
    <w:rsid w:val="00B44ACC"/>
    <w:rsid w:val="00B44CB2"/>
    <w:rsid w:val="00B52F61"/>
    <w:rsid w:val="00B54197"/>
    <w:rsid w:val="00B55EA9"/>
    <w:rsid w:val="00B56C12"/>
    <w:rsid w:val="00B60BEC"/>
    <w:rsid w:val="00B60FF1"/>
    <w:rsid w:val="00B6247B"/>
    <w:rsid w:val="00B62BC9"/>
    <w:rsid w:val="00B64AEA"/>
    <w:rsid w:val="00B673CF"/>
    <w:rsid w:val="00B67EC4"/>
    <w:rsid w:val="00B72703"/>
    <w:rsid w:val="00B77831"/>
    <w:rsid w:val="00B80DD3"/>
    <w:rsid w:val="00B825FD"/>
    <w:rsid w:val="00B83CE1"/>
    <w:rsid w:val="00B87107"/>
    <w:rsid w:val="00B9396B"/>
    <w:rsid w:val="00B96F8B"/>
    <w:rsid w:val="00BA365C"/>
    <w:rsid w:val="00BA705C"/>
    <w:rsid w:val="00BB01D8"/>
    <w:rsid w:val="00BB0801"/>
    <w:rsid w:val="00BB6650"/>
    <w:rsid w:val="00BB6A2C"/>
    <w:rsid w:val="00BC30A1"/>
    <w:rsid w:val="00BC4500"/>
    <w:rsid w:val="00BD33D2"/>
    <w:rsid w:val="00BD4312"/>
    <w:rsid w:val="00BD5D9E"/>
    <w:rsid w:val="00BD6B65"/>
    <w:rsid w:val="00BD736D"/>
    <w:rsid w:val="00BE0347"/>
    <w:rsid w:val="00BE2031"/>
    <w:rsid w:val="00BE2ED0"/>
    <w:rsid w:val="00BE55C4"/>
    <w:rsid w:val="00BE7216"/>
    <w:rsid w:val="00BF0E3C"/>
    <w:rsid w:val="00BF175F"/>
    <w:rsid w:val="00BF2DF0"/>
    <w:rsid w:val="00BF3216"/>
    <w:rsid w:val="00BF54B3"/>
    <w:rsid w:val="00C0108F"/>
    <w:rsid w:val="00C04786"/>
    <w:rsid w:val="00C05A72"/>
    <w:rsid w:val="00C05EA7"/>
    <w:rsid w:val="00C07EE3"/>
    <w:rsid w:val="00C10728"/>
    <w:rsid w:val="00C14E8D"/>
    <w:rsid w:val="00C154F4"/>
    <w:rsid w:val="00C16014"/>
    <w:rsid w:val="00C202B7"/>
    <w:rsid w:val="00C21F31"/>
    <w:rsid w:val="00C21FD2"/>
    <w:rsid w:val="00C31D70"/>
    <w:rsid w:val="00C34967"/>
    <w:rsid w:val="00C35002"/>
    <w:rsid w:val="00C37D80"/>
    <w:rsid w:val="00C42F52"/>
    <w:rsid w:val="00C44B9D"/>
    <w:rsid w:val="00C45DCF"/>
    <w:rsid w:val="00C474A0"/>
    <w:rsid w:val="00C50A89"/>
    <w:rsid w:val="00C52A58"/>
    <w:rsid w:val="00C53DE5"/>
    <w:rsid w:val="00C552C9"/>
    <w:rsid w:val="00C60809"/>
    <w:rsid w:val="00C618C7"/>
    <w:rsid w:val="00C623B5"/>
    <w:rsid w:val="00C6310A"/>
    <w:rsid w:val="00C7084A"/>
    <w:rsid w:val="00C74461"/>
    <w:rsid w:val="00C75133"/>
    <w:rsid w:val="00C75DD9"/>
    <w:rsid w:val="00C80C69"/>
    <w:rsid w:val="00C81510"/>
    <w:rsid w:val="00C82C22"/>
    <w:rsid w:val="00C844C3"/>
    <w:rsid w:val="00C84875"/>
    <w:rsid w:val="00C84B98"/>
    <w:rsid w:val="00C852D2"/>
    <w:rsid w:val="00C85B91"/>
    <w:rsid w:val="00C90F79"/>
    <w:rsid w:val="00C913C2"/>
    <w:rsid w:val="00C91EC3"/>
    <w:rsid w:val="00C92E8C"/>
    <w:rsid w:val="00C9555F"/>
    <w:rsid w:val="00C97216"/>
    <w:rsid w:val="00CA0BD1"/>
    <w:rsid w:val="00CA2C28"/>
    <w:rsid w:val="00CA420C"/>
    <w:rsid w:val="00CA4B20"/>
    <w:rsid w:val="00CB4810"/>
    <w:rsid w:val="00CB689C"/>
    <w:rsid w:val="00CB70BA"/>
    <w:rsid w:val="00CC1141"/>
    <w:rsid w:val="00CC2BBE"/>
    <w:rsid w:val="00CC2F98"/>
    <w:rsid w:val="00CC4504"/>
    <w:rsid w:val="00CC4CC2"/>
    <w:rsid w:val="00CC50DD"/>
    <w:rsid w:val="00CC71A4"/>
    <w:rsid w:val="00CC75B4"/>
    <w:rsid w:val="00CD1DF1"/>
    <w:rsid w:val="00CD4311"/>
    <w:rsid w:val="00CD44D7"/>
    <w:rsid w:val="00CD5E2D"/>
    <w:rsid w:val="00CE057F"/>
    <w:rsid w:val="00CE0D9A"/>
    <w:rsid w:val="00CE5F92"/>
    <w:rsid w:val="00CE61AA"/>
    <w:rsid w:val="00CE6C62"/>
    <w:rsid w:val="00CE7596"/>
    <w:rsid w:val="00CE7A29"/>
    <w:rsid w:val="00CF01A1"/>
    <w:rsid w:val="00CF14A9"/>
    <w:rsid w:val="00CF1D0F"/>
    <w:rsid w:val="00CF274E"/>
    <w:rsid w:val="00D0246F"/>
    <w:rsid w:val="00D0353C"/>
    <w:rsid w:val="00D04CB0"/>
    <w:rsid w:val="00D14EFA"/>
    <w:rsid w:val="00D17893"/>
    <w:rsid w:val="00D17F85"/>
    <w:rsid w:val="00D21E02"/>
    <w:rsid w:val="00D26952"/>
    <w:rsid w:val="00D30637"/>
    <w:rsid w:val="00D31C59"/>
    <w:rsid w:val="00D35026"/>
    <w:rsid w:val="00D3519B"/>
    <w:rsid w:val="00D3617F"/>
    <w:rsid w:val="00D36590"/>
    <w:rsid w:val="00D4296A"/>
    <w:rsid w:val="00D43B54"/>
    <w:rsid w:val="00D46FE2"/>
    <w:rsid w:val="00D52DAF"/>
    <w:rsid w:val="00D63E89"/>
    <w:rsid w:val="00D65DDF"/>
    <w:rsid w:val="00D70439"/>
    <w:rsid w:val="00D710F4"/>
    <w:rsid w:val="00D722BC"/>
    <w:rsid w:val="00D84A49"/>
    <w:rsid w:val="00D850D1"/>
    <w:rsid w:val="00D85ED2"/>
    <w:rsid w:val="00D86552"/>
    <w:rsid w:val="00D86D29"/>
    <w:rsid w:val="00D91A63"/>
    <w:rsid w:val="00D9349E"/>
    <w:rsid w:val="00D955FB"/>
    <w:rsid w:val="00DA2D87"/>
    <w:rsid w:val="00DA4715"/>
    <w:rsid w:val="00DB17B3"/>
    <w:rsid w:val="00DB2762"/>
    <w:rsid w:val="00DB37B4"/>
    <w:rsid w:val="00DB4F7A"/>
    <w:rsid w:val="00DB53BB"/>
    <w:rsid w:val="00DB6AB9"/>
    <w:rsid w:val="00DB7FDE"/>
    <w:rsid w:val="00DC14C8"/>
    <w:rsid w:val="00DC3544"/>
    <w:rsid w:val="00DC46C8"/>
    <w:rsid w:val="00DC6878"/>
    <w:rsid w:val="00DD0985"/>
    <w:rsid w:val="00DD217A"/>
    <w:rsid w:val="00DD2E17"/>
    <w:rsid w:val="00DD57DA"/>
    <w:rsid w:val="00DD74BA"/>
    <w:rsid w:val="00DE1486"/>
    <w:rsid w:val="00DE4EFA"/>
    <w:rsid w:val="00DE4FB2"/>
    <w:rsid w:val="00DE51BD"/>
    <w:rsid w:val="00DE57B3"/>
    <w:rsid w:val="00DE70FA"/>
    <w:rsid w:val="00DE793E"/>
    <w:rsid w:val="00DF1442"/>
    <w:rsid w:val="00DF2515"/>
    <w:rsid w:val="00DF46E1"/>
    <w:rsid w:val="00DF614C"/>
    <w:rsid w:val="00E001BC"/>
    <w:rsid w:val="00E04CA4"/>
    <w:rsid w:val="00E05E5B"/>
    <w:rsid w:val="00E123A7"/>
    <w:rsid w:val="00E14E19"/>
    <w:rsid w:val="00E16316"/>
    <w:rsid w:val="00E219E0"/>
    <w:rsid w:val="00E2407C"/>
    <w:rsid w:val="00E25E8D"/>
    <w:rsid w:val="00E271D6"/>
    <w:rsid w:val="00E32C2C"/>
    <w:rsid w:val="00E345FA"/>
    <w:rsid w:val="00E352C4"/>
    <w:rsid w:val="00E418F9"/>
    <w:rsid w:val="00E506FE"/>
    <w:rsid w:val="00E50E2B"/>
    <w:rsid w:val="00E51FF4"/>
    <w:rsid w:val="00E53341"/>
    <w:rsid w:val="00E558B4"/>
    <w:rsid w:val="00E57802"/>
    <w:rsid w:val="00E60F70"/>
    <w:rsid w:val="00E63881"/>
    <w:rsid w:val="00E66F07"/>
    <w:rsid w:val="00E72FAD"/>
    <w:rsid w:val="00E73D2A"/>
    <w:rsid w:val="00E7637E"/>
    <w:rsid w:val="00E829DF"/>
    <w:rsid w:val="00E83D3C"/>
    <w:rsid w:val="00E84DBB"/>
    <w:rsid w:val="00E85EAE"/>
    <w:rsid w:val="00E86D0B"/>
    <w:rsid w:val="00E91990"/>
    <w:rsid w:val="00E94EAA"/>
    <w:rsid w:val="00EA0406"/>
    <w:rsid w:val="00EA1216"/>
    <w:rsid w:val="00EA1CAD"/>
    <w:rsid w:val="00EA2CED"/>
    <w:rsid w:val="00EA5834"/>
    <w:rsid w:val="00EA6E89"/>
    <w:rsid w:val="00EB1A07"/>
    <w:rsid w:val="00EB2A59"/>
    <w:rsid w:val="00EB4400"/>
    <w:rsid w:val="00EB7630"/>
    <w:rsid w:val="00EC12B2"/>
    <w:rsid w:val="00EC17EB"/>
    <w:rsid w:val="00EC49E5"/>
    <w:rsid w:val="00EC5682"/>
    <w:rsid w:val="00ED0052"/>
    <w:rsid w:val="00ED4C64"/>
    <w:rsid w:val="00EE116B"/>
    <w:rsid w:val="00EE14ED"/>
    <w:rsid w:val="00EE1FC3"/>
    <w:rsid w:val="00EE2414"/>
    <w:rsid w:val="00EE5DB1"/>
    <w:rsid w:val="00EE6686"/>
    <w:rsid w:val="00EF0399"/>
    <w:rsid w:val="00EF27D6"/>
    <w:rsid w:val="00EF3ABD"/>
    <w:rsid w:val="00F05234"/>
    <w:rsid w:val="00F069D1"/>
    <w:rsid w:val="00F13E8E"/>
    <w:rsid w:val="00F150CA"/>
    <w:rsid w:val="00F162FB"/>
    <w:rsid w:val="00F20277"/>
    <w:rsid w:val="00F2169E"/>
    <w:rsid w:val="00F23B80"/>
    <w:rsid w:val="00F241AA"/>
    <w:rsid w:val="00F25629"/>
    <w:rsid w:val="00F27BD0"/>
    <w:rsid w:val="00F30B8F"/>
    <w:rsid w:val="00F3381C"/>
    <w:rsid w:val="00F3463C"/>
    <w:rsid w:val="00F346D5"/>
    <w:rsid w:val="00F40FCE"/>
    <w:rsid w:val="00F4119F"/>
    <w:rsid w:val="00F41EBB"/>
    <w:rsid w:val="00F44D9A"/>
    <w:rsid w:val="00F44DAE"/>
    <w:rsid w:val="00F44F77"/>
    <w:rsid w:val="00F45F6F"/>
    <w:rsid w:val="00F47440"/>
    <w:rsid w:val="00F5130A"/>
    <w:rsid w:val="00F5597A"/>
    <w:rsid w:val="00F6051D"/>
    <w:rsid w:val="00F657DE"/>
    <w:rsid w:val="00F7124D"/>
    <w:rsid w:val="00F7724D"/>
    <w:rsid w:val="00F80209"/>
    <w:rsid w:val="00F82140"/>
    <w:rsid w:val="00F82DC2"/>
    <w:rsid w:val="00F87F17"/>
    <w:rsid w:val="00F9287B"/>
    <w:rsid w:val="00F933A5"/>
    <w:rsid w:val="00F94D98"/>
    <w:rsid w:val="00F95624"/>
    <w:rsid w:val="00FA0BE1"/>
    <w:rsid w:val="00FA4FD7"/>
    <w:rsid w:val="00FA7C07"/>
    <w:rsid w:val="00FB2135"/>
    <w:rsid w:val="00FB24A3"/>
    <w:rsid w:val="00FC3C1D"/>
    <w:rsid w:val="00FC5DBA"/>
    <w:rsid w:val="00FC71B1"/>
    <w:rsid w:val="00FC7A45"/>
    <w:rsid w:val="00FE42C2"/>
    <w:rsid w:val="00FE4509"/>
    <w:rsid w:val="00FE46C5"/>
    <w:rsid w:val="00FE680C"/>
    <w:rsid w:val="00FE7B7E"/>
    <w:rsid w:val="00FF06B5"/>
    <w:rsid w:val="00FF1ADD"/>
    <w:rsid w:val="00FF3A8A"/>
    <w:rsid w:val="00FF5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FB"/>
    <w:rPr>
      <w:sz w:val="24"/>
      <w:szCs w:val="24"/>
    </w:rPr>
  </w:style>
  <w:style w:type="paragraph" w:styleId="Heading1">
    <w:name w:val="heading 1"/>
    <w:basedOn w:val="Normal"/>
    <w:next w:val="Normal"/>
    <w:link w:val="Heading1Char"/>
    <w:uiPriority w:val="99"/>
    <w:qFormat/>
    <w:rsid w:val="00A67AFB"/>
    <w:pPr>
      <w:keepNext/>
      <w:outlineLvl w:val="0"/>
    </w:pPr>
    <w:rPr>
      <w:i/>
      <w:iCs/>
    </w:rPr>
  </w:style>
  <w:style w:type="paragraph" w:styleId="Heading2">
    <w:name w:val="heading 2"/>
    <w:basedOn w:val="Normal"/>
    <w:next w:val="Normal"/>
    <w:link w:val="Heading2Char"/>
    <w:uiPriority w:val="99"/>
    <w:qFormat/>
    <w:rsid w:val="00A67AFB"/>
    <w:pPr>
      <w:keepNext/>
      <w:outlineLvl w:val="1"/>
    </w:pPr>
    <w:rPr>
      <w:b/>
      <w:bCs/>
    </w:rPr>
  </w:style>
  <w:style w:type="paragraph" w:styleId="Heading3">
    <w:name w:val="heading 3"/>
    <w:basedOn w:val="Normal"/>
    <w:next w:val="Normal"/>
    <w:link w:val="Heading3Char"/>
    <w:unhideWhenUsed/>
    <w:qFormat/>
    <w:locked/>
    <w:rsid w:val="00B1132B"/>
    <w:pPr>
      <w:keepNext/>
      <w:keepLines/>
      <w:spacing w:before="200"/>
      <w:outlineLvl w:val="2"/>
    </w:pPr>
    <w:rPr>
      <w:rFonts w:ascii="Cambria" w:hAnsi="Cambria"/>
      <w:b/>
      <w:bCs/>
      <w:color w:val="4F81BD"/>
    </w:rPr>
  </w:style>
  <w:style w:type="paragraph" w:styleId="Heading7">
    <w:name w:val="heading 7"/>
    <w:basedOn w:val="Normal"/>
    <w:next w:val="Normal"/>
    <w:link w:val="Heading7Char"/>
    <w:uiPriority w:val="99"/>
    <w:qFormat/>
    <w:rsid w:val="00A67AFB"/>
    <w:pPr>
      <w:keepNext/>
      <w:pBdr>
        <w:bottom w:val="single" w:sz="4" w:space="10" w:color="auto"/>
      </w:pBd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2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82124"/>
    <w:rPr>
      <w:rFonts w:ascii="Cambria" w:eastAsia="Times New Roman" w:hAnsi="Cambria" w:cs="Times New Roman"/>
      <w:b/>
      <w:bCs/>
      <w:i/>
      <w:iCs/>
      <w:sz w:val="28"/>
      <w:szCs w:val="28"/>
    </w:rPr>
  </w:style>
  <w:style w:type="character" w:customStyle="1" w:styleId="Heading7Char">
    <w:name w:val="Heading 7 Char"/>
    <w:basedOn w:val="DefaultParagraphFont"/>
    <w:link w:val="Heading7"/>
    <w:uiPriority w:val="9"/>
    <w:semiHidden/>
    <w:rsid w:val="00982124"/>
    <w:rPr>
      <w:rFonts w:ascii="Calibri" w:eastAsia="Times New Roman" w:hAnsi="Calibri" w:cs="Times New Roman"/>
      <w:sz w:val="24"/>
      <w:szCs w:val="24"/>
    </w:rPr>
  </w:style>
  <w:style w:type="character" w:styleId="Hyperlink">
    <w:name w:val="Hyperlink"/>
    <w:basedOn w:val="DefaultParagraphFont"/>
    <w:rsid w:val="00A67AFB"/>
    <w:rPr>
      <w:color w:val="0000FF"/>
      <w:u w:val="single"/>
    </w:rPr>
  </w:style>
  <w:style w:type="paragraph" w:styleId="ListParagraph">
    <w:name w:val="List Paragraph"/>
    <w:basedOn w:val="Normal"/>
    <w:uiPriority w:val="34"/>
    <w:qFormat/>
    <w:rsid w:val="00A67AFB"/>
    <w:pPr>
      <w:spacing w:before="240" w:after="240"/>
      <w:ind w:left="720" w:right="158"/>
    </w:pPr>
  </w:style>
  <w:style w:type="paragraph" w:styleId="Header">
    <w:name w:val="header"/>
    <w:basedOn w:val="Normal"/>
    <w:link w:val="HeaderChar"/>
    <w:uiPriority w:val="99"/>
    <w:rsid w:val="00EA5834"/>
    <w:pPr>
      <w:tabs>
        <w:tab w:val="center" w:pos="4680"/>
        <w:tab w:val="right" w:pos="9360"/>
      </w:tabs>
    </w:pPr>
  </w:style>
  <w:style w:type="character" w:customStyle="1" w:styleId="HeaderChar">
    <w:name w:val="Header Char"/>
    <w:basedOn w:val="DefaultParagraphFont"/>
    <w:link w:val="Header"/>
    <w:uiPriority w:val="99"/>
    <w:locked/>
    <w:rsid w:val="00EA5834"/>
    <w:rPr>
      <w:sz w:val="24"/>
      <w:szCs w:val="24"/>
    </w:rPr>
  </w:style>
  <w:style w:type="paragraph" w:styleId="Footer">
    <w:name w:val="footer"/>
    <w:basedOn w:val="Normal"/>
    <w:link w:val="FooterChar"/>
    <w:uiPriority w:val="99"/>
    <w:semiHidden/>
    <w:rsid w:val="00EA5834"/>
    <w:pPr>
      <w:tabs>
        <w:tab w:val="center" w:pos="4680"/>
        <w:tab w:val="right" w:pos="9360"/>
      </w:tabs>
    </w:pPr>
  </w:style>
  <w:style w:type="character" w:customStyle="1" w:styleId="FooterChar">
    <w:name w:val="Footer Char"/>
    <w:basedOn w:val="DefaultParagraphFont"/>
    <w:link w:val="Footer"/>
    <w:uiPriority w:val="99"/>
    <w:semiHidden/>
    <w:locked/>
    <w:rsid w:val="00EA5834"/>
    <w:rPr>
      <w:sz w:val="24"/>
      <w:szCs w:val="24"/>
    </w:rPr>
  </w:style>
  <w:style w:type="paragraph" w:styleId="BalloonText">
    <w:name w:val="Balloon Text"/>
    <w:basedOn w:val="Normal"/>
    <w:link w:val="BalloonTextChar"/>
    <w:uiPriority w:val="99"/>
    <w:semiHidden/>
    <w:rsid w:val="001B262D"/>
    <w:rPr>
      <w:rFonts w:ascii="Tahoma" w:hAnsi="Tahoma" w:cs="Tahoma"/>
      <w:sz w:val="16"/>
      <w:szCs w:val="16"/>
    </w:rPr>
  </w:style>
  <w:style w:type="character" w:customStyle="1" w:styleId="BalloonTextChar">
    <w:name w:val="Balloon Text Char"/>
    <w:basedOn w:val="DefaultParagraphFont"/>
    <w:link w:val="BalloonText"/>
    <w:uiPriority w:val="99"/>
    <w:semiHidden/>
    <w:rsid w:val="00982124"/>
    <w:rPr>
      <w:sz w:val="0"/>
      <w:szCs w:val="0"/>
    </w:rPr>
  </w:style>
  <w:style w:type="character" w:styleId="CommentReference">
    <w:name w:val="annotation reference"/>
    <w:basedOn w:val="DefaultParagraphFont"/>
    <w:uiPriority w:val="99"/>
    <w:semiHidden/>
    <w:unhideWhenUsed/>
    <w:rsid w:val="0078592D"/>
    <w:rPr>
      <w:sz w:val="16"/>
      <w:szCs w:val="16"/>
    </w:rPr>
  </w:style>
  <w:style w:type="paragraph" w:styleId="CommentText">
    <w:name w:val="annotation text"/>
    <w:basedOn w:val="Normal"/>
    <w:link w:val="CommentTextChar"/>
    <w:uiPriority w:val="99"/>
    <w:semiHidden/>
    <w:unhideWhenUsed/>
    <w:rsid w:val="0078592D"/>
    <w:rPr>
      <w:sz w:val="20"/>
      <w:szCs w:val="20"/>
    </w:rPr>
  </w:style>
  <w:style w:type="character" w:customStyle="1" w:styleId="CommentTextChar">
    <w:name w:val="Comment Text Char"/>
    <w:basedOn w:val="DefaultParagraphFont"/>
    <w:link w:val="CommentText"/>
    <w:uiPriority w:val="99"/>
    <w:semiHidden/>
    <w:rsid w:val="0078592D"/>
  </w:style>
  <w:style w:type="paragraph" w:styleId="CommentSubject">
    <w:name w:val="annotation subject"/>
    <w:basedOn w:val="CommentText"/>
    <w:next w:val="CommentText"/>
    <w:link w:val="CommentSubjectChar"/>
    <w:uiPriority w:val="99"/>
    <w:semiHidden/>
    <w:unhideWhenUsed/>
    <w:rsid w:val="0078592D"/>
    <w:rPr>
      <w:b/>
      <w:bCs/>
    </w:rPr>
  </w:style>
  <w:style w:type="character" w:customStyle="1" w:styleId="CommentSubjectChar">
    <w:name w:val="Comment Subject Char"/>
    <w:basedOn w:val="CommentTextChar"/>
    <w:link w:val="CommentSubject"/>
    <w:uiPriority w:val="99"/>
    <w:semiHidden/>
    <w:rsid w:val="0078592D"/>
    <w:rPr>
      <w:b/>
      <w:bCs/>
    </w:rPr>
  </w:style>
  <w:style w:type="paragraph" w:styleId="Revision">
    <w:name w:val="Revision"/>
    <w:hidden/>
    <w:uiPriority w:val="99"/>
    <w:semiHidden/>
    <w:rsid w:val="0078592D"/>
    <w:rPr>
      <w:sz w:val="24"/>
      <w:szCs w:val="24"/>
    </w:rPr>
  </w:style>
  <w:style w:type="paragraph" w:styleId="BodyText">
    <w:name w:val="Body Text"/>
    <w:basedOn w:val="Normal"/>
    <w:link w:val="BodyTextChar"/>
    <w:rsid w:val="00A9316F"/>
    <w:pPr>
      <w:jc w:val="both"/>
    </w:pPr>
    <w:rPr>
      <w:sz w:val="22"/>
      <w:szCs w:val="20"/>
    </w:rPr>
  </w:style>
  <w:style w:type="character" w:customStyle="1" w:styleId="BodyTextChar">
    <w:name w:val="Body Text Char"/>
    <w:basedOn w:val="DefaultParagraphFont"/>
    <w:link w:val="BodyText"/>
    <w:rsid w:val="00A9316F"/>
    <w:rPr>
      <w:sz w:val="22"/>
    </w:rPr>
  </w:style>
  <w:style w:type="character" w:styleId="FollowedHyperlink">
    <w:name w:val="FollowedHyperlink"/>
    <w:basedOn w:val="DefaultParagraphFont"/>
    <w:uiPriority w:val="99"/>
    <w:semiHidden/>
    <w:unhideWhenUsed/>
    <w:rsid w:val="00432546"/>
    <w:rPr>
      <w:color w:val="800080"/>
      <w:u w:val="single"/>
    </w:rPr>
  </w:style>
  <w:style w:type="table" w:styleId="TableGrid">
    <w:name w:val="Table Grid"/>
    <w:basedOn w:val="TableNormal"/>
    <w:uiPriority w:val="59"/>
    <w:locked/>
    <w:rsid w:val="004B41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B1132B"/>
    <w:rPr>
      <w:i/>
      <w:iCs/>
    </w:rPr>
  </w:style>
  <w:style w:type="character" w:customStyle="1" w:styleId="Heading3Char">
    <w:name w:val="Heading 3 Char"/>
    <w:basedOn w:val="DefaultParagraphFont"/>
    <w:link w:val="Heading3"/>
    <w:rsid w:val="00B1132B"/>
    <w:rPr>
      <w:rFonts w:ascii="Cambria" w:eastAsia="Times New Roman" w:hAnsi="Cambria" w:cs="Times New Roman"/>
      <w:b/>
      <w:bCs/>
      <w:color w:val="4F81BD"/>
      <w:sz w:val="24"/>
      <w:szCs w:val="24"/>
    </w:rPr>
  </w:style>
</w:styles>
</file>

<file path=word/webSettings.xml><?xml version="1.0" encoding="utf-8"?>
<w:webSettings xmlns:r="http://schemas.openxmlformats.org/officeDocument/2006/relationships" xmlns:w="http://schemas.openxmlformats.org/wordprocessingml/2006/main">
  <w:divs>
    <w:div w:id="1628470280">
      <w:bodyDiv w:val="1"/>
      <w:marLeft w:val="0"/>
      <w:marRight w:val="0"/>
      <w:marTop w:val="0"/>
      <w:marBottom w:val="0"/>
      <w:divBdr>
        <w:top w:val="none" w:sz="0" w:space="0" w:color="auto"/>
        <w:left w:val="none" w:sz="0" w:space="0" w:color="auto"/>
        <w:bottom w:val="none" w:sz="0" w:space="0" w:color="auto"/>
        <w:right w:val="none" w:sz="0" w:space="0" w:color="auto"/>
      </w:divBdr>
    </w:div>
    <w:div w:id="185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rksolutions.com/staff-resources/issuan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E667-7148-4394-881D-4B64DF2F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Arbor E &amp; T</Company>
  <LinksUpToDate>false</LinksUpToDate>
  <CharactersWithSpaces>7666</CharactersWithSpaces>
  <SharedDoc>false</SharedDoc>
  <HLinks>
    <vt:vector size="6" baseType="variant">
      <vt:variant>
        <vt:i4>5701656</vt:i4>
      </vt:variant>
      <vt:variant>
        <vt:i4>0</vt:i4>
      </vt:variant>
      <vt:variant>
        <vt:i4>0</vt:i4>
      </vt:variant>
      <vt:variant>
        <vt:i4>5</vt:i4>
      </vt:variant>
      <vt:variant>
        <vt:lpwstr>http://wrksolutions.com/staff/policiesandprocedures.html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13-12 Managing Financial Aid/Continued Funding</dc:title>
  <dc:subject>WS 13-12 Managing Financial Aid/Continued Funding</dc:subject>
  <dc:creator>nguyend</dc:creator>
  <cp:keywords>13-12, Managing Financial Aid/Continued Funding</cp:keywords>
  <cp:lastModifiedBy>nguyend</cp:lastModifiedBy>
  <cp:revision>3</cp:revision>
  <cp:lastPrinted>2013-03-11T19:35:00Z</cp:lastPrinted>
  <dcterms:created xsi:type="dcterms:W3CDTF">2014-12-17T14:44:00Z</dcterms:created>
  <dcterms:modified xsi:type="dcterms:W3CDTF">2015-01-12T21:26:00Z</dcterms:modified>
  <cp:category>Issuances</cp:category>
</cp:coreProperties>
</file>