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AC" w:rsidRDefault="00FF201F" w:rsidP="004A03AC">
      <w:r w:rsidRPr="00FF201F">
        <w:rPr>
          <w:noProof/>
        </w:rPr>
        <w:drawing>
          <wp:inline distT="0" distB="0" distL="0" distR="0">
            <wp:extent cx="2609850" cy="590550"/>
            <wp:effectExtent l="19050" t="0" r="0" b="0"/>
            <wp:docPr id="3" name="Picture 3" descr="C:\Documents and Settings\temple\My Documents\My Pictures\Workforce Solutions\Logos\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emple\My Documents\My Pictures\Workforce Solutions\Logos\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</w:tblGrid>
      <w:tr w:rsidR="004A03AC" w:rsidRPr="00CC3D18" w:rsidTr="003D19B0">
        <w:tc>
          <w:tcPr>
            <w:tcW w:w="2520" w:type="dxa"/>
          </w:tcPr>
          <w:p w:rsidR="004A03AC" w:rsidRPr="00CC3D18" w:rsidRDefault="004A03AC" w:rsidP="00CE64B6">
            <w:pPr>
              <w:jc w:val="center"/>
              <w:rPr>
                <w:b/>
              </w:rPr>
            </w:pPr>
            <w:r w:rsidRPr="00CC3D18">
              <w:rPr>
                <w:b/>
              </w:rPr>
              <w:t xml:space="preserve">WS </w:t>
            </w:r>
            <w:r>
              <w:rPr>
                <w:b/>
              </w:rPr>
              <w:t>15-</w:t>
            </w:r>
            <w:r w:rsidR="00CE64B6">
              <w:rPr>
                <w:b/>
              </w:rPr>
              <w:t>07</w:t>
            </w:r>
          </w:p>
        </w:tc>
      </w:tr>
      <w:tr w:rsidR="004A03AC" w:rsidRPr="00CC3D18" w:rsidTr="003D19B0">
        <w:tc>
          <w:tcPr>
            <w:tcW w:w="2520" w:type="dxa"/>
          </w:tcPr>
          <w:p w:rsidR="004A03AC" w:rsidRPr="00CC3D18" w:rsidRDefault="00F75112" w:rsidP="001E7BDA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</w:t>
            </w:r>
            <w:r w:rsidR="001E7BDA">
              <w:rPr>
                <w:b/>
              </w:rPr>
              <w:t>31</w:t>
            </w:r>
            <w:r w:rsidR="004A03AC">
              <w:rPr>
                <w:b/>
              </w:rPr>
              <w:t>, 2015</w:t>
            </w:r>
          </w:p>
        </w:tc>
      </w:tr>
      <w:tr w:rsidR="004A03AC" w:rsidRPr="00CC3D18" w:rsidTr="003D19B0">
        <w:tc>
          <w:tcPr>
            <w:tcW w:w="2520" w:type="dxa"/>
          </w:tcPr>
          <w:p w:rsidR="004A03AC" w:rsidRPr="00CC3D18" w:rsidRDefault="004A03AC" w:rsidP="003D19B0">
            <w:pPr>
              <w:jc w:val="center"/>
              <w:rPr>
                <w:b/>
              </w:rPr>
            </w:pPr>
            <w:r>
              <w:rPr>
                <w:b/>
              </w:rPr>
              <w:t>Adult Education &amp; Literacy</w:t>
            </w:r>
            <w:r w:rsidR="00C858CE">
              <w:rPr>
                <w:b/>
              </w:rPr>
              <w:t xml:space="preserve"> (AEL)</w:t>
            </w:r>
          </w:p>
        </w:tc>
      </w:tr>
      <w:tr w:rsidR="004A03AC" w:rsidRPr="00CC3D18" w:rsidTr="003D19B0">
        <w:tc>
          <w:tcPr>
            <w:tcW w:w="2520" w:type="dxa"/>
          </w:tcPr>
          <w:p w:rsidR="004A03AC" w:rsidRPr="00CC3D18" w:rsidRDefault="004A03AC" w:rsidP="003D19B0">
            <w:pPr>
              <w:jc w:val="center"/>
              <w:rPr>
                <w:b/>
              </w:rPr>
            </w:pPr>
            <w:r w:rsidRPr="00CC3D18">
              <w:rPr>
                <w:b/>
              </w:rPr>
              <w:t>Expires:  Continuing</w:t>
            </w:r>
          </w:p>
        </w:tc>
      </w:tr>
    </w:tbl>
    <w:p w:rsidR="004A03AC" w:rsidRDefault="00F34491" w:rsidP="004A03AC">
      <w:r>
        <w:t xml:space="preserve">To:  </w:t>
      </w:r>
      <w:r>
        <w:tab/>
      </w:r>
      <w:r>
        <w:tab/>
        <w:t>AEL Consortium</w:t>
      </w:r>
    </w:p>
    <w:p w:rsidR="00D23737" w:rsidRDefault="00D23737" w:rsidP="004A03AC">
      <w:r>
        <w:tab/>
      </w:r>
      <w:r>
        <w:tab/>
        <w:t>Career Offices</w:t>
      </w:r>
    </w:p>
    <w:p w:rsidR="00D23737" w:rsidRPr="00EC1E9B" w:rsidRDefault="00D23737" w:rsidP="004A03AC">
      <w:r>
        <w:tab/>
      </w:r>
      <w:r>
        <w:tab/>
        <w:t>Tracking Units</w:t>
      </w:r>
    </w:p>
    <w:p w:rsidR="004A03AC" w:rsidRDefault="004A03AC" w:rsidP="004A03AC">
      <w:r w:rsidRPr="00EC1E9B">
        <w:tab/>
      </w:r>
      <w:r w:rsidRPr="00EC1E9B">
        <w:tab/>
      </w:r>
    </w:p>
    <w:p w:rsidR="004A03AC" w:rsidRDefault="004A03AC" w:rsidP="004A03AC">
      <w:r>
        <w:t xml:space="preserve">From: </w:t>
      </w:r>
      <w:r>
        <w:tab/>
      </w:r>
      <w:r>
        <w:tab/>
      </w:r>
      <w:r w:rsidRPr="00EC1E9B">
        <w:t>Mike Temple</w:t>
      </w:r>
    </w:p>
    <w:p w:rsidR="004A03AC" w:rsidRDefault="004A03AC" w:rsidP="004A03AC">
      <w:r>
        <w:tab/>
      </w:r>
      <w:r>
        <w:tab/>
        <w:t>David Baggerly</w:t>
      </w:r>
    </w:p>
    <w:p w:rsidR="000A485B" w:rsidRPr="00EC1E9B" w:rsidRDefault="000A485B" w:rsidP="004A03AC">
      <w:r>
        <w:tab/>
      </w:r>
      <w:r>
        <w:tab/>
        <w:t>Michelle Ramirez</w:t>
      </w:r>
    </w:p>
    <w:p w:rsidR="004A03AC" w:rsidRPr="00EC1E9B" w:rsidRDefault="004A03AC" w:rsidP="004A03AC">
      <w:r w:rsidRPr="00EC1E9B">
        <w:tab/>
      </w:r>
      <w:r w:rsidRPr="00EC1E9B">
        <w:tab/>
        <w:t>Lucretia Hammond</w:t>
      </w:r>
    </w:p>
    <w:p w:rsidR="004A03AC" w:rsidRPr="00EC1E9B" w:rsidRDefault="004A03AC" w:rsidP="004A03AC"/>
    <w:p w:rsidR="004A03AC" w:rsidRPr="00EC1E9B" w:rsidRDefault="004A03AC" w:rsidP="004A03AC">
      <w:pPr>
        <w:pStyle w:val="Heading7"/>
        <w:pBdr>
          <w:bottom w:val="single" w:sz="4" w:space="4" w:color="auto"/>
        </w:pBdr>
        <w:tabs>
          <w:tab w:val="left" w:pos="1440"/>
        </w:tabs>
        <w:ind w:left="1440" w:hanging="1440"/>
        <w:rPr>
          <w:rFonts w:ascii="Times New Roman" w:hAnsi="Times New Roman"/>
        </w:rPr>
      </w:pPr>
      <w:r w:rsidRPr="00EC1E9B">
        <w:rPr>
          <w:rFonts w:ascii="Times New Roman" w:hAnsi="Times New Roman"/>
        </w:rPr>
        <w:t>Subject:</w:t>
      </w:r>
      <w:r w:rsidRPr="00EC1E9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Adult Education and Literacy </w:t>
      </w:r>
      <w:r w:rsidR="00FF201F">
        <w:rPr>
          <w:rFonts w:ascii="Times New Roman" w:hAnsi="Times New Roman"/>
        </w:rPr>
        <w:t>- Temporary Assistance for Needy Families Eligibility</w:t>
      </w:r>
    </w:p>
    <w:p w:rsidR="004A03AC" w:rsidRPr="003C1A1D" w:rsidRDefault="004A03AC" w:rsidP="004A03AC">
      <w:pPr>
        <w:autoSpaceDE w:val="0"/>
        <w:autoSpaceDN w:val="0"/>
        <w:adjustRightInd w:val="0"/>
      </w:pPr>
    </w:p>
    <w:p w:rsidR="004A03AC" w:rsidRPr="003C1A1D" w:rsidRDefault="004A03AC" w:rsidP="004A03AC">
      <w:pPr>
        <w:autoSpaceDE w:val="0"/>
        <w:autoSpaceDN w:val="0"/>
        <w:adjustRightInd w:val="0"/>
        <w:spacing w:after="60"/>
        <w:rPr>
          <w:sz w:val="36"/>
          <w:szCs w:val="36"/>
        </w:rPr>
      </w:pPr>
      <w:r w:rsidRPr="003C1A1D">
        <w:rPr>
          <w:sz w:val="36"/>
          <w:szCs w:val="36"/>
        </w:rPr>
        <w:t>Purpose</w:t>
      </w:r>
    </w:p>
    <w:p w:rsidR="004A03AC" w:rsidRPr="00F34491" w:rsidRDefault="00CE64B6" w:rsidP="00FF201F">
      <w:r>
        <w:t>This issuance provides</w:t>
      </w:r>
      <w:r w:rsidR="00FF201F" w:rsidRPr="00F34491">
        <w:t xml:space="preserve"> guidance regarding acceptable eligibility determination </w:t>
      </w:r>
      <w:r w:rsidR="00EC05D2">
        <w:t xml:space="preserve">and documentation </w:t>
      </w:r>
      <w:r w:rsidR="00FF201F" w:rsidRPr="00F34491">
        <w:t xml:space="preserve">for Temporary Assistance for Needy Families (TANF)-funded </w:t>
      </w:r>
      <w:r w:rsidR="00E83D05">
        <w:t>adult education and literacy</w:t>
      </w:r>
      <w:r w:rsidR="00FF201F" w:rsidRPr="00F34491">
        <w:t xml:space="preserve"> service</w:t>
      </w:r>
      <w:r w:rsidR="00FF39E0">
        <w:t>.</w:t>
      </w:r>
    </w:p>
    <w:p w:rsidR="004A03AC" w:rsidRPr="00F34491" w:rsidRDefault="004A03AC" w:rsidP="004A03AC"/>
    <w:p w:rsidR="004A03AC" w:rsidRPr="00F34491" w:rsidRDefault="004A03AC" w:rsidP="004A03AC"/>
    <w:p w:rsidR="004A03AC" w:rsidRPr="003C1A1D" w:rsidRDefault="004A03AC" w:rsidP="004A03AC">
      <w:pPr>
        <w:autoSpaceDE w:val="0"/>
        <w:autoSpaceDN w:val="0"/>
        <w:adjustRightInd w:val="0"/>
        <w:spacing w:after="60"/>
        <w:rPr>
          <w:sz w:val="36"/>
          <w:szCs w:val="36"/>
        </w:rPr>
      </w:pPr>
      <w:r w:rsidRPr="003C1A1D">
        <w:rPr>
          <w:sz w:val="36"/>
          <w:szCs w:val="36"/>
        </w:rPr>
        <w:t>Background</w:t>
      </w:r>
    </w:p>
    <w:p w:rsidR="00BF6A7D" w:rsidRDefault="00D23737" w:rsidP="00FF201F">
      <w:pPr>
        <w:pStyle w:val="Default"/>
      </w:pPr>
      <w:r>
        <w:t xml:space="preserve">Customers who receive </w:t>
      </w:r>
      <w:r w:rsidR="00E83D05">
        <w:t>adult education and literacy</w:t>
      </w:r>
      <w:r w:rsidR="00AE4C09">
        <w:t xml:space="preserve"> </w:t>
      </w:r>
      <w:r>
        <w:t xml:space="preserve">service must be eligible under one or more of the available funds - Federal, State, EL/Civics and/or TANF.    </w:t>
      </w:r>
    </w:p>
    <w:p w:rsidR="00BF6A7D" w:rsidRDefault="00BF6A7D" w:rsidP="00FF201F">
      <w:pPr>
        <w:pStyle w:val="Default"/>
      </w:pPr>
    </w:p>
    <w:p w:rsidR="00B51C30" w:rsidRDefault="00E83D05" w:rsidP="00BF6A7D">
      <w:pPr>
        <w:pStyle w:val="Default"/>
        <w:rPr>
          <w:shd w:val="clear" w:color="auto" w:fill="FFFFFF"/>
        </w:rPr>
      </w:pPr>
      <w:r>
        <w:t xml:space="preserve">Adult education and literacy </w:t>
      </w:r>
      <w:r w:rsidR="00FA2B86">
        <w:t>providers,</w:t>
      </w:r>
      <w:r w:rsidR="00BF6A7D">
        <w:t xml:space="preserve"> who tag customers as TANF-funded, must have documentation that verifies the customer’s eligibility.</w:t>
      </w:r>
    </w:p>
    <w:p w:rsidR="009050B4" w:rsidRDefault="009050B4" w:rsidP="009050B4">
      <w:pPr>
        <w:pStyle w:val="Default"/>
      </w:pPr>
    </w:p>
    <w:p w:rsidR="00DA723B" w:rsidRPr="00F34491" w:rsidRDefault="00DA723B" w:rsidP="009050B4">
      <w:pPr>
        <w:pStyle w:val="Default"/>
      </w:pPr>
    </w:p>
    <w:p w:rsidR="000937F6" w:rsidRPr="00DA723B" w:rsidRDefault="00B2760E" w:rsidP="00FF201F">
      <w:pPr>
        <w:pStyle w:val="Default"/>
        <w:rPr>
          <w:sz w:val="36"/>
          <w:szCs w:val="36"/>
          <w:shd w:val="clear" w:color="auto" w:fill="FFFFFF"/>
        </w:rPr>
      </w:pPr>
      <w:r w:rsidRPr="00DA723B">
        <w:rPr>
          <w:sz w:val="36"/>
          <w:szCs w:val="36"/>
          <w:shd w:val="clear" w:color="auto" w:fill="FFFFFF"/>
        </w:rPr>
        <w:t>Procedures</w:t>
      </w:r>
    </w:p>
    <w:p w:rsidR="00B2760E" w:rsidRDefault="00B2760E" w:rsidP="00FF201F">
      <w:pPr>
        <w:pStyle w:val="Default"/>
        <w:rPr>
          <w:shd w:val="clear" w:color="auto" w:fill="FFFFFF"/>
        </w:rPr>
      </w:pPr>
    </w:p>
    <w:p w:rsidR="00DA723B" w:rsidRPr="00AE4C09" w:rsidRDefault="00E83D05" w:rsidP="00FF39E0">
      <w:pPr>
        <w:pStyle w:val="Default"/>
        <w:rPr>
          <w:b/>
          <w:u w:val="single"/>
        </w:rPr>
      </w:pPr>
      <w:r w:rsidRPr="00AE4C09">
        <w:rPr>
          <w:b/>
          <w:u w:val="single"/>
        </w:rPr>
        <w:t xml:space="preserve">Adult education and literacy </w:t>
      </w:r>
      <w:r w:rsidR="00AE4C09" w:rsidRPr="00AE4C09">
        <w:rPr>
          <w:b/>
          <w:u w:val="single"/>
        </w:rPr>
        <w:t>s</w:t>
      </w:r>
      <w:r w:rsidR="00DA723B" w:rsidRPr="00AE4C09">
        <w:rPr>
          <w:b/>
          <w:u w:val="single"/>
        </w:rPr>
        <w:t>taff</w:t>
      </w:r>
    </w:p>
    <w:p w:rsidR="00DA723B" w:rsidRDefault="00DA723B" w:rsidP="00FF39E0">
      <w:pPr>
        <w:pStyle w:val="Default"/>
      </w:pPr>
    </w:p>
    <w:p w:rsidR="00962983" w:rsidRDefault="00E83D05" w:rsidP="00EC05D2">
      <w:pPr>
        <w:pStyle w:val="Default"/>
      </w:pPr>
      <w:r>
        <w:t xml:space="preserve">Adult education and literacy </w:t>
      </w:r>
      <w:r w:rsidR="00DA723B">
        <w:t>staff must be aware that f</w:t>
      </w:r>
      <w:r w:rsidR="00FF39E0" w:rsidRPr="00F34491">
        <w:t xml:space="preserve">amilies </w:t>
      </w:r>
      <w:r w:rsidR="00DA723B">
        <w:rPr>
          <w:i/>
          <w:iCs/>
        </w:rPr>
        <w:t>who</w:t>
      </w:r>
      <w:r w:rsidR="00FF39E0" w:rsidRPr="00F34491">
        <w:rPr>
          <w:i/>
          <w:iCs/>
        </w:rPr>
        <w:t xml:space="preserve"> include a child (less than 19 years of age) living at home </w:t>
      </w:r>
      <w:r w:rsidR="00FF39E0" w:rsidRPr="00F34491">
        <w:t xml:space="preserve">are eligible for TANF-funded </w:t>
      </w:r>
      <w:r>
        <w:t xml:space="preserve">adult education and literacy </w:t>
      </w:r>
      <w:r w:rsidR="00FF39E0" w:rsidRPr="00F34491">
        <w:t xml:space="preserve">service if a family member </w:t>
      </w:r>
      <w:r w:rsidR="00FA2B86">
        <w:t>has received or is currently receiving</w:t>
      </w:r>
      <w:r w:rsidR="00FF39E0" w:rsidRPr="00F34491">
        <w:t xml:space="preserve"> any of the following forms of assistance</w:t>
      </w:r>
      <w:r w:rsidR="00962983">
        <w:t>:</w:t>
      </w:r>
    </w:p>
    <w:p w:rsidR="00962983" w:rsidRDefault="00FF39E0" w:rsidP="00962983">
      <w:pPr>
        <w:pStyle w:val="Default"/>
        <w:numPr>
          <w:ilvl w:val="0"/>
          <w:numId w:val="12"/>
        </w:numPr>
      </w:pPr>
      <w:r w:rsidRPr="00F34491">
        <w:t>TANF</w:t>
      </w:r>
      <w:r w:rsidR="00962983">
        <w:t xml:space="preserve"> benefits</w:t>
      </w:r>
      <w:r w:rsidR="00FA2B86">
        <w:t xml:space="preserve"> (to include Choices participants and exempt TANF recipients)</w:t>
      </w:r>
      <w:r w:rsidR="00962983">
        <w:t>;</w:t>
      </w:r>
    </w:p>
    <w:p w:rsidR="00962983" w:rsidRDefault="00FF39E0" w:rsidP="00962983">
      <w:pPr>
        <w:pStyle w:val="Default"/>
        <w:numPr>
          <w:ilvl w:val="0"/>
          <w:numId w:val="12"/>
        </w:numPr>
      </w:pPr>
      <w:r>
        <w:t>SNAP</w:t>
      </w:r>
      <w:r w:rsidRPr="00F34491">
        <w:t xml:space="preserve"> benefits; </w:t>
      </w:r>
    </w:p>
    <w:p w:rsidR="00962983" w:rsidRDefault="00962983" w:rsidP="00962983">
      <w:pPr>
        <w:pStyle w:val="Default"/>
        <w:numPr>
          <w:ilvl w:val="0"/>
          <w:numId w:val="12"/>
        </w:numPr>
      </w:pPr>
      <w:r>
        <w:t>Medicaid coverage;</w:t>
      </w:r>
    </w:p>
    <w:p w:rsidR="00962983" w:rsidRDefault="00FF39E0" w:rsidP="00962983">
      <w:pPr>
        <w:pStyle w:val="Default"/>
        <w:numPr>
          <w:ilvl w:val="0"/>
          <w:numId w:val="12"/>
        </w:numPr>
      </w:pPr>
      <w:r w:rsidRPr="00F34491">
        <w:lastRenderedPageBreak/>
        <w:t xml:space="preserve">Children’s Health Insurance Program (CHIP) coverage; </w:t>
      </w:r>
    </w:p>
    <w:p w:rsidR="00962983" w:rsidRDefault="00A704D1" w:rsidP="00962983">
      <w:pPr>
        <w:pStyle w:val="Default"/>
        <w:numPr>
          <w:ilvl w:val="0"/>
          <w:numId w:val="12"/>
        </w:numPr>
      </w:pPr>
      <w:r>
        <w:t>Workforce Solutions</w:t>
      </w:r>
      <w:r w:rsidR="00962983">
        <w:t xml:space="preserve"> child care</w:t>
      </w:r>
      <w:r>
        <w:t xml:space="preserve"> financial aid</w:t>
      </w:r>
      <w:r w:rsidR="00962983">
        <w:t>;</w:t>
      </w:r>
    </w:p>
    <w:p w:rsidR="00962983" w:rsidRDefault="00962983" w:rsidP="00962983">
      <w:pPr>
        <w:pStyle w:val="Default"/>
        <w:numPr>
          <w:ilvl w:val="0"/>
          <w:numId w:val="12"/>
        </w:numPr>
      </w:pPr>
      <w:r>
        <w:t>F</w:t>
      </w:r>
      <w:r w:rsidR="00FF39E0" w:rsidRPr="00F34491">
        <w:t>ree and reduced-price lunch program</w:t>
      </w:r>
      <w:r>
        <w:t>;</w:t>
      </w:r>
    </w:p>
    <w:p w:rsidR="00962983" w:rsidRDefault="00962983" w:rsidP="00962983">
      <w:pPr>
        <w:pStyle w:val="Default"/>
        <w:numPr>
          <w:ilvl w:val="0"/>
          <w:numId w:val="12"/>
        </w:numPr>
      </w:pPr>
      <w:r w:rsidRPr="00F34491">
        <w:t xml:space="preserve">Women, Infants, and Children </w:t>
      </w:r>
      <w:r>
        <w:t xml:space="preserve">(WIC) </w:t>
      </w:r>
      <w:r w:rsidRPr="00F34491">
        <w:t>services</w:t>
      </w:r>
      <w:r>
        <w:t>; or</w:t>
      </w:r>
    </w:p>
    <w:p w:rsidR="00962983" w:rsidRPr="00F34491" w:rsidRDefault="00962983" w:rsidP="00962983">
      <w:pPr>
        <w:pStyle w:val="Default"/>
        <w:numPr>
          <w:ilvl w:val="0"/>
          <w:numId w:val="12"/>
        </w:numPr>
      </w:pPr>
      <w:r>
        <w:t>P</w:t>
      </w:r>
      <w:r w:rsidRPr="00F34491">
        <w:t>ublic housing assistance</w:t>
      </w:r>
    </w:p>
    <w:p w:rsidR="00FF39E0" w:rsidRDefault="00FF39E0" w:rsidP="00FF201F">
      <w:pPr>
        <w:pStyle w:val="Default"/>
        <w:rPr>
          <w:shd w:val="clear" w:color="auto" w:fill="FFFFFF"/>
        </w:rPr>
      </w:pPr>
    </w:p>
    <w:p w:rsidR="00FF39E0" w:rsidRPr="00962983" w:rsidRDefault="00E83D05" w:rsidP="00FF201F">
      <w:pPr>
        <w:pStyle w:val="Default"/>
      </w:pPr>
      <w:r>
        <w:t>Adult education and literacy</w:t>
      </w:r>
      <w:r>
        <w:rPr>
          <w:shd w:val="clear" w:color="auto" w:fill="FFFFFF"/>
        </w:rPr>
        <w:t xml:space="preserve"> </w:t>
      </w:r>
      <w:r w:rsidR="00FF39E0">
        <w:rPr>
          <w:shd w:val="clear" w:color="auto" w:fill="FFFFFF"/>
        </w:rPr>
        <w:t xml:space="preserve">staff must document proof of TANF-funded </w:t>
      </w:r>
      <w:r>
        <w:t xml:space="preserve">adult education and literacy </w:t>
      </w:r>
      <w:r w:rsidR="00FF39E0">
        <w:rPr>
          <w:shd w:val="clear" w:color="auto" w:fill="FFFFFF"/>
        </w:rPr>
        <w:t>service eligibility</w:t>
      </w:r>
      <w:r w:rsidR="00962983">
        <w:rPr>
          <w:shd w:val="clear" w:color="auto" w:fill="FFFFFF"/>
        </w:rPr>
        <w:t xml:space="preserve">, </w:t>
      </w:r>
      <w:r w:rsidR="00962983">
        <w:t xml:space="preserve">based on an </w:t>
      </w:r>
      <w:r w:rsidR="00962983">
        <w:rPr>
          <w:shd w:val="clear" w:color="auto" w:fill="FFFFFF"/>
        </w:rPr>
        <w:t>individualized family eligibility determination process</w:t>
      </w:r>
      <w:r w:rsidR="00962983">
        <w:t>,</w:t>
      </w:r>
      <w:r w:rsidR="00FF39E0">
        <w:rPr>
          <w:shd w:val="clear" w:color="auto" w:fill="FFFFFF"/>
        </w:rPr>
        <w:t xml:space="preserve"> and </w:t>
      </w:r>
      <w:proofErr w:type="gramStart"/>
      <w:r w:rsidR="00FF39E0">
        <w:rPr>
          <w:shd w:val="clear" w:color="auto" w:fill="FFFFFF"/>
        </w:rPr>
        <w:t>maintain</w:t>
      </w:r>
      <w:proofErr w:type="gramEnd"/>
      <w:r w:rsidR="00FF39E0">
        <w:rPr>
          <w:shd w:val="clear" w:color="auto" w:fill="FFFFFF"/>
        </w:rPr>
        <w:t xml:space="preserve"> the documentation in the customer’s file.  </w:t>
      </w:r>
    </w:p>
    <w:p w:rsidR="00DA723B" w:rsidRDefault="00DA723B" w:rsidP="00FF201F">
      <w:pPr>
        <w:pStyle w:val="Default"/>
        <w:rPr>
          <w:shd w:val="clear" w:color="auto" w:fill="FFFFFF"/>
        </w:rPr>
      </w:pPr>
    </w:p>
    <w:p w:rsidR="00DA723B" w:rsidRDefault="00E83D05" w:rsidP="00DA723B">
      <w:pPr>
        <w:pStyle w:val="Default"/>
      </w:pPr>
      <w:r>
        <w:t xml:space="preserve">Adult education and literacy </w:t>
      </w:r>
      <w:r w:rsidR="00ED6AFD">
        <w:t>staff</w:t>
      </w:r>
      <w:r w:rsidR="00DA723B" w:rsidRPr="00F34491">
        <w:t xml:space="preserve"> must ensure that </w:t>
      </w:r>
      <w:r w:rsidR="00962983">
        <w:t xml:space="preserve">individualized family </w:t>
      </w:r>
      <w:r w:rsidR="00DA723B" w:rsidRPr="00F34491">
        <w:t xml:space="preserve">eligibility </w:t>
      </w:r>
      <w:r w:rsidR="004F4CAE">
        <w:t xml:space="preserve">for TANF-funded </w:t>
      </w:r>
      <w:r>
        <w:t xml:space="preserve">adult education and literacy </w:t>
      </w:r>
      <w:r w:rsidR="004F4CAE">
        <w:t xml:space="preserve">service (1) has been determined within the last 12 months; (2) occurs prior to the receipt of TANF-funded </w:t>
      </w:r>
      <w:r>
        <w:t xml:space="preserve">adult education and literacy </w:t>
      </w:r>
      <w:r w:rsidR="004F4CAE">
        <w:t xml:space="preserve">service; and (3) is </w:t>
      </w:r>
      <w:r w:rsidR="00DA723B" w:rsidRPr="00F34491">
        <w:t>confirmed by one of the following</w:t>
      </w:r>
      <w:r w:rsidR="00EC05D2">
        <w:t xml:space="preserve"> sources</w:t>
      </w:r>
      <w:r w:rsidR="004F4CAE">
        <w:t>:</w:t>
      </w:r>
    </w:p>
    <w:p w:rsidR="00DA723B" w:rsidRPr="00F34491" w:rsidRDefault="00DA723B" w:rsidP="00DA723B">
      <w:pPr>
        <w:pStyle w:val="Default"/>
      </w:pPr>
    </w:p>
    <w:p w:rsidR="00202C6B" w:rsidRDefault="00DA723B" w:rsidP="00202C6B">
      <w:pPr>
        <w:pStyle w:val="Default"/>
        <w:numPr>
          <w:ilvl w:val="0"/>
          <w:numId w:val="10"/>
        </w:numPr>
      </w:pPr>
      <w:r w:rsidRPr="00F34491">
        <w:t xml:space="preserve">Documentation from a Workforce Solutions Office stating that at least one family member </w:t>
      </w:r>
      <w:r w:rsidR="00ED6AFD" w:rsidRPr="00F34491">
        <w:t xml:space="preserve">has received </w:t>
      </w:r>
      <w:r w:rsidR="00863721">
        <w:t xml:space="preserve">or is currently receiving </w:t>
      </w:r>
      <w:r w:rsidRPr="00F34491">
        <w:t>TANF, SNAP benefits, or child care</w:t>
      </w:r>
      <w:r>
        <w:t xml:space="preserve"> financial aid</w:t>
      </w:r>
      <w:r w:rsidRPr="00F34491">
        <w:t xml:space="preserve">; </w:t>
      </w:r>
      <w:r w:rsidR="00202C6B" w:rsidRPr="00202C6B">
        <w:t xml:space="preserve"> </w:t>
      </w:r>
    </w:p>
    <w:p w:rsidR="00202C6B" w:rsidRDefault="00202C6B" w:rsidP="00202C6B">
      <w:pPr>
        <w:pStyle w:val="Default"/>
        <w:numPr>
          <w:ilvl w:val="1"/>
          <w:numId w:val="10"/>
        </w:numPr>
      </w:pPr>
      <w:r>
        <w:t>Fax</w:t>
      </w:r>
      <w:r w:rsidR="00863721">
        <w:t xml:space="preserve"> the</w:t>
      </w:r>
      <w:r>
        <w:t xml:space="preserve"> </w:t>
      </w:r>
      <w:hyperlink r:id="rId9" w:history="1">
        <w:r w:rsidR="00E83D05" w:rsidRPr="006B3BB1">
          <w:rPr>
            <w:rStyle w:val="Hyperlink"/>
            <w:i/>
          </w:rPr>
          <w:t>Adult Education and Literacy</w:t>
        </w:r>
        <w:r w:rsidR="00AE4C09" w:rsidRPr="006B3BB1">
          <w:rPr>
            <w:rStyle w:val="Hyperlink"/>
            <w:i/>
          </w:rPr>
          <w:t xml:space="preserve"> </w:t>
        </w:r>
        <w:r w:rsidR="000825BD" w:rsidRPr="006B3BB1">
          <w:rPr>
            <w:rStyle w:val="Hyperlink"/>
            <w:i/>
          </w:rPr>
          <w:t>TANF</w:t>
        </w:r>
        <w:r w:rsidR="00863721" w:rsidRPr="006B3BB1">
          <w:rPr>
            <w:rStyle w:val="Hyperlink"/>
            <w:i/>
          </w:rPr>
          <w:t xml:space="preserve"> E</w:t>
        </w:r>
        <w:r w:rsidR="000825BD" w:rsidRPr="006B3BB1">
          <w:rPr>
            <w:rStyle w:val="Hyperlink"/>
            <w:i/>
          </w:rPr>
          <w:t>ligibility</w:t>
        </w:r>
        <w:r w:rsidR="00863721" w:rsidRPr="006B3BB1">
          <w:rPr>
            <w:rStyle w:val="Hyperlink"/>
            <w:i/>
          </w:rPr>
          <w:t xml:space="preserve"> Do</w:t>
        </w:r>
        <w:r w:rsidR="00863721" w:rsidRPr="006B3BB1">
          <w:rPr>
            <w:rStyle w:val="Hyperlink"/>
            <w:i/>
          </w:rPr>
          <w:t>c</w:t>
        </w:r>
        <w:r w:rsidR="00863721" w:rsidRPr="006B3BB1">
          <w:rPr>
            <w:rStyle w:val="Hyperlink"/>
            <w:i/>
          </w:rPr>
          <w:t>umentation</w:t>
        </w:r>
        <w:r w:rsidR="000825BD" w:rsidRPr="006B3BB1">
          <w:rPr>
            <w:rStyle w:val="Hyperlink"/>
            <w:i/>
          </w:rPr>
          <w:t xml:space="preserve"> </w:t>
        </w:r>
        <w:r w:rsidR="00863721" w:rsidRPr="006B3BB1">
          <w:rPr>
            <w:rStyle w:val="Hyperlink"/>
            <w:i/>
          </w:rPr>
          <w:t>F</w:t>
        </w:r>
        <w:r w:rsidRPr="006B3BB1">
          <w:rPr>
            <w:rStyle w:val="Hyperlink"/>
            <w:i/>
          </w:rPr>
          <w:t>orm</w:t>
        </w:r>
      </w:hyperlink>
      <w:r>
        <w:t xml:space="preserve"> identifying an individual or list of individuals to the </w:t>
      </w:r>
      <w:r w:rsidR="00B93583">
        <w:t xml:space="preserve">Workforce Solutions </w:t>
      </w:r>
      <w:r>
        <w:t>tracking unit</w:t>
      </w:r>
      <w:r w:rsidR="00BB3963">
        <w:t xml:space="preserve"> at </w:t>
      </w:r>
      <w:r w:rsidR="008C0B3B">
        <w:t>1-866-318-6577</w:t>
      </w:r>
      <w:r w:rsidR="003D6C72">
        <w:t>.</w:t>
      </w:r>
    </w:p>
    <w:p w:rsidR="00202C6B" w:rsidRDefault="00202C6B" w:rsidP="00202C6B">
      <w:pPr>
        <w:pStyle w:val="Default"/>
        <w:numPr>
          <w:ilvl w:val="1"/>
          <w:numId w:val="10"/>
        </w:numPr>
      </w:pPr>
      <w:r>
        <w:t>Tracking unit confirms receipt of assistance and most recent month</w:t>
      </w:r>
      <w:r>
        <w:tab/>
        <w:t xml:space="preserve"> and faxes the form back to the sender.</w:t>
      </w:r>
    </w:p>
    <w:p w:rsidR="00DA723B" w:rsidRDefault="00202C6B" w:rsidP="00202C6B">
      <w:pPr>
        <w:pStyle w:val="Default"/>
        <w:numPr>
          <w:ilvl w:val="1"/>
          <w:numId w:val="10"/>
        </w:numPr>
      </w:pPr>
      <w:proofErr w:type="spellStart"/>
      <w:r>
        <w:t>Turn around</w:t>
      </w:r>
      <w:proofErr w:type="spellEnd"/>
      <w:r>
        <w:t xml:space="preserve"> time for the tracking unit is a maximum of two business days.</w:t>
      </w:r>
    </w:p>
    <w:p w:rsidR="00863721" w:rsidRDefault="00DA723B" w:rsidP="00DA723B">
      <w:pPr>
        <w:pStyle w:val="Default"/>
        <w:numPr>
          <w:ilvl w:val="0"/>
          <w:numId w:val="10"/>
        </w:numPr>
      </w:pPr>
      <w:r w:rsidRPr="00F34491">
        <w:t>Documentation from the Texas Health and Human Services Commission</w:t>
      </w:r>
      <w:r w:rsidR="00863721">
        <w:t xml:space="preserve"> (HHSC)</w:t>
      </w:r>
      <w:r w:rsidRPr="00F34491">
        <w:t xml:space="preserve"> stating that at least one family member has received or is currently receiving TANF, SNAP benefits, Medicaid, or CHIP coverage;</w:t>
      </w:r>
      <w:r w:rsidR="00AE7926">
        <w:t xml:space="preserve"> </w:t>
      </w:r>
    </w:p>
    <w:p w:rsidR="00DA723B" w:rsidRPr="00F34491" w:rsidRDefault="00E83D05" w:rsidP="00863721">
      <w:pPr>
        <w:pStyle w:val="Default"/>
        <w:numPr>
          <w:ilvl w:val="1"/>
          <w:numId w:val="10"/>
        </w:numPr>
      </w:pPr>
      <w:r>
        <w:t>Adult education and literacy</w:t>
      </w:r>
      <w:r w:rsidR="00863721">
        <w:t xml:space="preserve"> staff must contact </w:t>
      </w:r>
      <w:r w:rsidR="00863721" w:rsidRPr="00F34491">
        <w:t>HHSC</w:t>
      </w:r>
      <w:r w:rsidR="00863721">
        <w:t xml:space="preserve"> to obtain appropriate eligibility documents.</w:t>
      </w:r>
    </w:p>
    <w:p w:rsidR="00863721" w:rsidRDefault="00DA723B" w:rsidP="00DA723B">
      <w:pPr>
        <w:pStyle w:val="Default"/>
        <w:numPr>
          <w:ilvl w:val="0"/>
          <w:numId w:val="10"/>
        </w:numPr>
      </w:pPr>
      <w:r w:rsidRPr="00F34491">
        <w:t>Documentation from the school district stating that at least one family member is participating in the free or reduced-priced meal service based on an individualized eligibility determination</w:t>
      </w:r>
      <w:r>
        <w:t xml:space="preserve">.  </w:t>
      </w:r>
      <w:r w:rsidR="00AE4C09">
        <w:t xml:space="preserve">The </w:t>
      </w:r>
      <w:r>
        <w:t>C</w:t>
      </w:r>
      <w:r w:rsidR="00AE4C09">
        <w:t xml:space="preserve">ommunity </w:t>
      </w:r>
      <w:r>
        <w:t>E</w:t>
      </w:r>
      <w:r w:rsidR="00AE4C09">
        <w:t xml:space="preserve">ligibility </w:t>
      </w:r>
      <w:r>
        <w:t>P</w:t>
      </w:r>
      <w:r w:rsidR="00AE4C09">
        <w:t>rovision (CEP)</w:t>
      </w:r>
      <w:r>
        <w:t xml:space="preserve"> cannot be used for eligibility</w:t>
      </w:r>
      <w:r w:rsidRPr="00F34491">
        <w:t>;</w:t>
      </w:r>
    </w:p>
    <w:p w:rsidR="00DA723B" w:rsidRPr="00F34491" w:rsidRDefault="00E83D05" w:rsidP="00863721">
      <w:pPr>
        <w:pStyle w:val="Default"/>
        <w:numPr>
          <w:ilvl w:val="1"/>
          <w:numId w:val="10"/>
        </w:numPr>
      </w:pPr>
      <w:r>
        <w:t xml:space="preserve">Adult education and literacy </w:t>
      </w:r>
      <w:r w:rsidR="00863721">
        <w:t>staff must contact the appropriate school district to obtain individualized eligibility documents.</w:t>
      </w:r>
      <w:r w:rsidR="00DA723B" w:rsidRPr="00F34491">
        <w:t xml:space="preserve"> </w:t>
      </w:r>
    </w:p>
    <w:p w:rsidR="00DA723B" w:rsidRDefault="00DA723B" w:rsidP="00DA723B">
      <w:pPr>
        <w:pStyle w:val="Default"/>
        <w:numPr>
          <w:ilvl w:val="0"/>
          <w:numId w:val="10"/>
        </w:numPr>
      </w:pPr>
      <w:r w:rsidRPr="00F34491">
        <w:t xml:space="preserve">Documentation from the local county office stating that at least one family member is receiving Women, Infants, and Children </w:t>
      </w:r>
      <w:r>
        <w:t xml:space="preserve">(WIC) </w:t>
      </w:r>
      <w:r w:rsidRPr="00F34491">
        <w:t xml:space="preserve">services; or </w:t>
      </w:r>
    </w:p>
    <w:p w:rsidR="00863721" w:rsidRPr="00F34491" w:rsidRDefault="00E83D05" w:rsidP="00863721">
      <w:pPr>
        <w:pStyle w:val="Default"/>
        <w:numPr>
          <w:ilvl w:val="1"/>
          <w:numId w:val="10"/>
        </w:numPr>
      </w:pPr>
      <w:r>
        <w:t xml:space="preserve">Adult education and literacy </w:t>
      </w:r>
      <w:r w:rsidR="00863721">
        <w:t>staff must contact the appropriate local county office to obtain eligibility documents.</w:t>
      </w:r>
    </w:p>
    <w:p w:rsidR="00DA723B" w:rsidRDefault="00DA723B" w:rsidP="00DA723B">
      <w:pPr>
        <w:pStyle w:val="Default"/>
        <w:numPr>
          <w:ilvl w:val="0"/>
          <w:numId w:val="10"/>
        </w:numPr>
      </w:pPr>
      <w:r w:rsidRPr="00F34491">
        <w:t xml:space="preserve">Documentation from a public housing authority stating that the participant receives public housing assistance. </w:t>
      </w:r>
    </w:p>
    <w:p w:rsidR="00863721" w:rsidRPr="00F34491" w:rsidRDefault="00E83D05" w:rsidP="00863721">
      <w:pPr>
        <w:pStyle w:val="Default"/>
        <w:numPr>
          <w:ilvl w:val="1"/>
          <w:numId w:val="10"/>
        </w:numPr>
      </w:pPr>
      <w:r>
        <w:t xml:space="preserve">Adult education and literacy </w:t>
      </w:r>
      <w:r w:rsidR="00863721">
        <w:t>staff must contact the appropriate housing authority to obtain eligibility documents.</w:t>
      </w:r>
    </w:p>
    <w:p w:rsidR="00DA723B" w:rsidRDefault="00DA723B" w:rsidP="00FF201F">
      <w:pPr>
        <w:pStyle w:val="Default"/>
        <w:rPr>
          <w:shd w:val="clear" w:color="auto" w:fill="FFFFFF"/>
        </w:rPr>
      </w:pPr>
    </w:p>
    <w:p w:rsidR="003A0AA3" w:rsidRDefault="003A0AA3" w:rsidP="00FF201F">
      <w:pPr>
        <w:pStyle w:val="Default"/>
        <w:rPr>
          <w:u w:val="single"/>
          <w:shd w:val="clear" w:color="auto" w:fill="FFFFFF"/>
        </w:rPr>
      </w:pPr>
    </w:p>
    <w:p w:rsidR="001E7BDA" w:rsidRDefault="001E7BDA">
      <w:pPr>
        <w:spacing w:after="200" w:line="276" w:lineRule="auto"/>
        <w:rPr>
          <w:rFonts w:eastAsiaTheme="minorHAnsi"/>
          <w:b/>
          <w:color w:val="000000"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br w:type="page"/>
      </w:r>
    </w:p>
    <w:p w:rsidR="00FF39E0" w:rsidRDefault="00DA723B" w:rsidP="00FF201F">
      <w:pPr>
        <w:pStyle w:val="Default"/>
        <w:rPr>
          <w:b/>
          <w:u w:val="single"/>
          <w:shd w:val="clear" w:color="auto" w:fill="FFFFFF"/>
        </w:rPr>
      </w:pPr>
      <w:r w:rsidRPr="00863721">
        <w:rPr>
          <w:b/>
          <w:u w:val="single"/>
          <w:shd w:val="clear" w:color="auto" w:fill="FFFFFF"/>
        </w:rPr>
        <w:lastRenderedPageBreak/>
        <w:t xml:space="preserve">Workforce Solutions </w:t>
      </w:r>
      <w:r w:rsidR="00AE4C09">
        <w:rPr>
          <w:b/>
          <w:u w:val="single"/>
          <w:shd w:val="clear" w:color="auto" w:fill="FFFFFF"/>
        </w:rPr>
        <w:t>s</w:t>
      </w:r>
      <w:r w:rsidRPr="00863721">
        <w:rPr>
          <w:b/>
          <w:u w:val="single"/>
          <w:shd w:val="clear" w:color="auto" w:fill="FFFFFF"/>
        </w:rPr>
        <w:t>taff</w:t>
      </w:r>
    </w:p>
    <w:p w:rsidR="001E7BDA" w:rsidRPr="00863721" w:rsidRDefault="001E7BDA" w:rsidP="00FF201F">
      <w:pPr>
        <w:pStyle w:val="Default"/>
        <w:rPr>
          <w:b/>
          <w:u w:val="single"/>
          <w:shd w:val="clear" w:color="auto" w:fill="FFFFFF"/>
        </w:rPr>
      </w:pPr>
    </w:p>
    <w:p w:rsidR="00ED6AFD" w:rsidRDefault="00ED6AFD" w:rsidP="003D6C72">
      <w:pPr>
        <w:pStyle w:val="Default"/>
        <w:numPr>
          <w:ilvl w:val="0"/>
          <w:numId w:val="11"/>
        </w:numPr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Workforce Solutions staff should help customers request </w:t>
      </w:r>
      <w:r w:rsidR="00E83D05">
        <w:t xml:space="preserve">adult education and literacy </w:t>
      </w:r>
      <w:r>
        <w:rPr>
          <w:shd w:val="clear" w:color="auto" w:fill="FFFFFF"/>
        </w:rPr>
        <w:t xml:space="preserve">service through the </w:t>
      </w:r>
      <w:hyperlink r:id="rId10" w:history="1">
        <w:r w:rsidR="00E83D05" w:rsidRPr="001E7BDA">
          <w:rPr>
            <w:rStyle w:val="Hyperlink"/>
          </w:rPr>
          <w:t>adult education and literacy</w:t>
        </w:r>
        <w:r w:rsidRPr="001E7BDA">
          <w:rPr>
            <w:rStyle w:val="Hyperlink"/>
            <w:shd w:val="clear" w:color="auto" w:fill="FFFFFF"/>
          </w:rPr>
          <w:t xml:space="preserve"> referral</w:t>
        </w:r>
      </w:hyperlink>
      <w:r>
        <w:rPr>
          <w:shd w:val="clear" w:color="auto" w:fill="FFFFFF"/>
        </w:rPr>
        <w:t xml:space="preserve"> tool.  </w:t>
      </w:r>
    </w:p>
    <w:p w:rsidR="00ED6AFD" w:rsidRDefault="00ED6AFD" w:rsidP="003D6C72">
      <w:pPr>
        <w:pStyle w:val="Default"/>
        <w:rPr>
          <w:shd w:val="clear" w:color="auto" w:fill="FFFFFF"/>
        </w:rPr>
      </w:pPr>
    </w:p>
    <w:p w:rsidR="00FD5CAA" w:rsidRPr="00FD5CAA" w:rsidRDefault="00FD5CAA" w:rsidP="003D6C72">
      <w:pPr>
        <w:pStyle w:val="Defaul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The </w:t>
      </w:r>
      <w:r>
        <w:rPr>
          <w:i/>
          <w:shd w:val="clear" w:color="auto" w:fill="FFFFFF"/>
        </w:rPr>
        <w:t>Contact Us</w:t>
      </w:r>
      <w:r>
        <w:rPr>
          <w:shd w:val="clear" w:color="auto" w:fill="FFFFFF"/>
        </w:rPr>
        <w:t xml:space="preserve"> form contains the following question, “Have you or a member of your family </w:t>
      </w:r>
      <w:r w:rsidR="00063666">
        <w:rPr>
          <w:shd w:val="clear" w:color="auto" w:fill="FFFFFF"/>
        </w:rPr>
        <w:t xml:space="preserve">previously </w:t>
      </w:r>
      <w:r>
        <w:rPr>
          <w:shd w:val="clear" w:color="auto" w:fill="FFFFFF"/>
        </w:rPr>
        <w:t>received or currently receive TANF assistance, SNAP benefits or Workforce Solutions child care financial aid?”</w:t>
      </w:r>
    </w:p>
    <w:p w:rsidR="00FD5CAA" w:rsidRDefault="00FD5CAA" w:rsidP="003D6C72">
      <w:pPr>
        <w:pStyle w:val="Default"/>
        <w:rPr>
          <w:shd w:val="clear" w:color="auto" w:fill="FFFFFF"/>
        </w:rPr>
      </w:pPr>
    </w:p>
    <w:p w:rsidR="00B2760E" w:rsidRDefault="00FD5CAA" w:rsidP="003D6C72">
      <w:pPr>
        <w:pStyle w:val="Default"/>
        <w:ind w:left="360"/>
        <w:rPr>
          <w:shd w:val="clear" w:color="auto" w:fill="FFFFFF"/>
        </w:rPr>
      </w:pPr>
      <w:r>
        <w:rPr>
          <w:shd w:val="clear" w:color="auto" w:fill="FFFFFF"/>
        </w:rPr>
        <w:t>The response should be marked “yes” for those c</w:t>
      </w:r>
      <w:r w:rsidR="00ED6AFD">
        <w:rPr>
          <w:shd w:val="clear" w:color="auto" w:fill="FFFFFF"/>
        </w:rPr>
        <w:t>ustomers who have received or are currently receiving TANF, SNAP</w:t>
      </w:r>
      <w:r w:rsidR="00DB7184">
        <w:rPr>
          <w:shd w:val="clear" w:color="auto" w:fill="FFFFFF"/>
        </w:rPr>
        <w:t xml:space="preserve"> benefi</w:t>
      </w:r>
      <w:r>
        <w:rPr>
          <w:shd w:val="clear" w:color="auto" w:fill="FFFFFF"/>
        </w:rPr>
        <w:t>ts, or child care financial aid.  Staff may check the customer’s TWIST</w:t>
      </w:r>
      <w:r w:rsidR="00AE4C09">
        <w:rPr>
          <w:shd w:val="clear" w:color="auto" w:fill="FFFFFF"/>
        </w:rPr>
        <w:t xml:space="preserve"> or TIERS</w:t>
      </w:r>
      <w:r>
        <w:rPr>
          <w:shd w:val="clear" w:color="auto" w:fill="FFFFFF"/>
        </w:rPr>
        <w:t xml:space="preserve"> record to confirm the information.</w:t>
      </w:r>
    </w:p>
    <w:p w:rsidR="00FD5CAA" w:rsidRDefault="00FD5CAA" w:rsidP="003D6C72">
      <w:pPr>
        <w:pStyle w:val="Default"/>
        <w:rPr>
          <w:shd w:val="clear" w:color="auto" w:fill="FFFFFF"/>
        </w:rPr>
      </w:pPr>
    </w:p>
    <w:p w:rsidR="00ED6AFD" w:rsidRDefault="00FD5CAA" w:rsidP="003D6C72">
      <w:pPr>
        <w:pStyle w:val="Default"/>
        <w:numPr>
          <w:ilvl w:val="0"/>
          <w:numId w:val="11"/>
        </w:numPr>
        <w:ind w:left="360"/>
        <w:rPr>
          <w:shd w:val="clear" w:color="auto" w:fill="FFFFFF"/>
        </w:rPr>
      </w:pPr>
      <w:r>
        <w:rPr>
          <w:shd w:val="clear" w:color="auto" w:fill="FFFFFF"/>
        </w:rPr>
        <w:t>Periodically, Workforce Solutions staff</w:t>
      </w:r>
      <w:r w:rsidR="00A76608">
        <w:rPr>
          <w:shd w:val="clear" w:color="auto" w:fill="FFFFFF"/>
        </w:rPr>
        <w:t xml:space="preserve"> may be contacted to provide</w:t>
      </w:r>
      <w:r>
        <w:rPr>
          <w:shd w:val="clear" w:color="auto" w:fill="FFFFFF"/>
        </w:rPr>
        <w:t xml:space="preserve"> eligibility documentation confirming that a customer </w:t>
      </w:r>
      <w:r w:rsidR="00063666">
        <w:rPr>
          <w:shd w:val="clear" w:color="auto" w:fill="FFFFFF"/>
        </w:rPr>
        <w:t>or a member of their family has received or is currently receiving TANF, SNAP or child care financial aid.</w:t>
      </w:r>
    </w:p>
    <w:p w:rsidR="00352B71" w:rsidRDefault="00640636" w:rsidP="003D6C72">
      <w:pPr>
        <w:pStyle w:val="Default"/>
        <w:numPr>
          <w:ilvl w:val="1"/>
          <w:numId w:val="11"/>
        </w:numPr>
        <w:ind w:left="1080"/>
        <w:rPr>
          <w:shd w:val="clear" w:color="auto" w:fill="FFFFFF"/>
        </w:rPr>
      </w:pPr>
      <w:r>
        <w:rPr>
          <w:shd w:val="clear" w:color="auto" w:fill="FFFFFF"/>
        </w:rPr>
        <w:t>Contact</w:t>
      </w:r>
      <w:r w:rsidR="00767AEC">
        <w:rPr>
          <w:shd w:val="clear" w:color="auto" w:fill="FFFFFF"/>
        </w:rPr>
        <w:t>ed</w:t>
      </w:r>
      <w:r>
        <w:rPr>
          <w:shd w:val="clear" w:color="auto" w:fill="FFFFFF"/>
        </w:rPr>
        <w:t xml:space="preserve"> by</w:t>
      </w:r>
      <w:r w:rsidR="00A76608">
        <w:rPr>
          <w:shd w:val="clear" w:color="auto" w:fill="FFFFFF"/>
        </w:rPr>
        <w:t xml:space="preserve"> </w:t>
      </w:r>
      <w:r w:rsidR="00E83D05">
        <w:t>adult education and literacy</w:t>
      </w:r>
      <w:r w:rsidR="00A76608">
        <w:rPr>
          <w:shd w:val="clear" w:color="auto" w:fill="FFFFFF"/>
        </w:rPr>
        <w:t xml:space="preserve"> staff:</w:t>
      </w:r>
    </w:p>
    <w:p w:rsidR="00352B71" w:rsidRDefault="00767AEC" w:rsidP="003D6C72">
      <w:pPr>
        <w:pStyle w:val="Default"/>
        <w:numPr>
          <w:ilvl w:val="2"/>
          <w:numId w:val="14"/>
        </w:numPr>
        <w:ind w:left="1800"/>
      </w:pPr>
      <w:r>
        <w:t xml:space="preserve">After verifying the customer’s identity, </w:t>
      </w:r>
      <w:r w:rsidR="00E83D05">
        <w:t xml:space="preserve">adult education and literacy </w:t>
      </w:r>
      <w:r w:rsidR="00D26F3C">
        <w:t xml:space="preserve">staff will fax the </w:t>
      </w:r>
      <w:hyperlink r:id="rId11" w:history="1">
        <w:r w:rsidR="00E83D05" w:rsidRPr="006B3BB1">
          <w:rPr>
            <w:rStyle w:val="Hyperlink"/>
            <w:i/>
          </w:rPr>
          <w:t xml:space="preserve">Adult Education and Literacy </w:t>
        </w:r>
        <w:r w:rsidR="00D26F3C" w:rsidRPr="006B3BB1">
          <w:rPr>
            <w:rStyle w:val="Hyperlink"/>
            <w:i/>
          </w:rPr>
          <w:t>TANF Eligibility Documentation Form</w:t>
        </w:r>
      </w:hyperlink>
      <w:r w:rsidR="00D26F3C">
        <w:t xml:space="preserve"> identifying an individual or list of individuals to the Workforce Solutions tracking unit </w:t>
      </w:r>
      <w:r w:rsidR="009E3313">
        <w:t xml:space="preserve">at </w:t>
      </w:r>
      <w:r w:rsidR="00516E36">
        <w:t>1-866-318-6577</w:t>
      </w:r>
      <w:r w:rsidR="003D6C72">
        <w:t>.</w:t>
      </w:r>
    </w:p>
    <w:p w:rsidR="00352B71" w:rsidRDefault="00D26F3C" w:rsidP="003D6C72">
      <w:pPr>
        <w:pStyle w:val="Default"/>
        <w:numPr>
          <w:ilvl w:val="2"/>
          <w:numId w:val="14"/>
        </w:numPr>
        <w:ind w:left="1800"/>
      </w:pPr>
      <w:r>
        <w:t xml:space="preserve">Tracking unit </w:t>
      </w:r>
      <w:r w:rsidR="00767AEC">
        <w:t xml:space="preserve">will use TWIST or TIERS to </w:t>
      </w:r>
      <w:r>
        <w:t xml:space="preserve">confirm </w:t>
      </w:r>
      <w:r w:rsidR="00767AEC">
        <w:t xml:space="preserve">the </w:t>
      </w:r>
      <w:r>
        <w:t>most recent mont</w:t>
      </w:r>
      <w:r w:rsidR="00767AEC">
        <w:t xml:space="preserve">h </w:t>
      </w:r>
      <w:r w:rsidR="006854DA">
        <w:t>of assistance</w:t>
      </w:r>
      <w:r>
        <w:t xml:space="preserve"> and fax the form back to the sender.</w:t>
      </w:r>
    </w:p>
    <w:p w:rsidR="00352B71" w:rsidRDefault="00D26F3C" w:rsidP="003D6C72">
      <w:pPr>
        <w:pStyle w:val="Default"/>
        <w:numPr>
          <w:ilvl w:val="2"/>
          <w:numId w:val="14"/>
        </w:numPr>
        <w:ind w:left="1800"/>
      </w:pPr>
      <w:proofErr w:type="spellStart"/>
      <w:r>
        <w:t>Turn around</w:t>
      </w:r>
      <w:proofErr w:type="spellEnd"/>
      <w:r>
        <w:t xml:space="preserve"> time for the tracking unit is a maximum of two business days.</w:t>
      </w:r>
    </w:p>
    <w:p w:rsidR="00352B71" w:rsidRDefault="00640636" w:rsidP="003D6C72">
      <w:pPr>
        <w:pStyle w:val="Default"/>
        <w:numPr>
          <w:ilvl w:val="1"/>
          <w:numId w:val="14"/>
        </w:numPr>
        <w:ind w:left="1080"/>
      </w:pPr>
      <w:r>
        <w:t>Contacted by customer:</w:t>
      </w:r>
    </w:p>
    <w:p w:rsidR="00352B71" w:rsidRDefault="00AE4C09" w:rsidP="003D6C72">
      <w:pPr>
        <w:pStyle w:val="Default"/>
        <w:numPr>
          <w:ilvl w:val="2"/>
          <w:numId w:val="14"/>
        </w:numPr>
        <w:ind w:left="1800"/>
      </w:pPr>
      <w:r>
        <w:t>S</w:t>
      </w:r>
      <w:r w:rsidR="008F419A">
        <w:t>taff will v</w:t>
      </w:r>
      <w:r w:rsidR="009E3313">
        <w:t xml:space="preserve">erify the customer’s identity through </w:t>
      </w:r>
      <w:r w:rsidR="006854DA">
        <w:t>valid</w:t>
      </w:r>
      <w:r w:rsidR="009E3313">
        <w:t xml:space="preserve"> picture identification</w:t>
      </w:r>
      <w:r w:rsidR="00640636">
        <w:t>.</w:t>
      </w:r>
    </w:p>
    <w:p w:rsidR="00352B71" w:rsidRDefault="00AE4C09" w:rsidP="003D6C72">
      <w:pPr>
        <w:pStyle w:val="Default"/>
        <w:numPr>
          <w:ilvl w:val="2"/>
          <w:numId w:val="14"/>
        </w:numPr>
        <w:ind w:left="1800"/>
      </w:pPr>
      <w:r>
        <w:t>S</w:t>
      </w:r>
      <w:r w:rsidR="008F419A">
        <w:t>taff will c</w:t>
      </w:r>
      <w:r w:rsidR="009E3313">
        <w:t xml:space="preserve">omplete the </w:t>
      </w:r>
      <w:hyperlink r:id="rId12" w:history="1">
        <w:r w:rsidR="00E83D05" w:rsidRPr="006B3BB1">
          <w:rPr>
            <w:rStyle w:val="Hyperlink"/>
            <w:i/>
          </w:rPr>
          <w:t>Adult Education and Literacy</w:t>
        </w:r>
        <w:r w:rsidR="009E3313" w:rsidRPr="006B3BB1">
          <w:rPr>
            <w:rStyle w:val="Hyperlink"/>
            <w:i/>
          </w:rPr>
          <w:t xml:space="preserve"> TANF Eligibility Documentation Form</w:t>
        </w:r>
        <w:r w:rsidR="00767AEC" w:rsidRPr="006B3BB1">
          <w:rPr>
            <w:rStyle w:val="Hyperlink"/>
            <w:i/>
          </w:rPr>
          <w:t xml:space="preserve"> for Individuals</w:t>
        </w:r>
      </w:hyperlink>
      <w:r w:rsidR="006854DA">
        <w:rPr>
          <w:i/>
        </w:rPr>
        <w:t xml:space="preserve"> </w:t>
      </w:r>
      <w:r w:rsidR="006854DA">
        <w:t>and provide to customer</w:t>
      </w:r>
      <w:r>
        <w:t>.</w:t>
      </w:r>
      <w:r w:rsidR="008F419A">
        <w:t xml:space="preserve"> </w:t>
      </w:r>
      <w:r>
        <w:t xml:space="preserve"> </w:t>
      </w:r>
      <w:r w:rsidR="00B20BCA">
        <w:t>S</w:t>
      </w:r>
      <w:r w:rsidR="008F419A">
        <w:t>taff will u</w:t>
      </w:r>
      <w:r w:rsidR="006854DA">
        <w:t xml:space="preserve">se TWIST </w:t>
      </w:r>
      <w:r w:rsidR="008F419A">
        <w:t xml:space="preserve">or TIERS </w:t>
      </w:r>
      <w:r w:rsidR="006854DA">
        <w:t>to c</w:t>
      </w:r>
      <w:r w:rsidR="009E3313">
        <w:t xml:space="preserve">onfirm the most recent </w:t>
      </w:r>
      <w:r w:rsidR="005B0411">
        <w:t>month of</w:t>
      </w:r>
      <w:r w:rsidR="006854DA">
        <w:t xml:space="preserve"> assistance.</w:t>
      </w:r>
    </w:p>
    <w:p w:rsidR="00D26F3C" w:rsidRPr="00D26F3C" w:rsidRDefault="00D26F3C" w:rsidP="00D26F3C">
      <w:pPr>
        <w:pStyle w:val="Default"/>
        <w:ind w:left="1440"/>
        <w:rPr>
          <w:shd w:val="clear" w:color="auto" w:fill="FFFFFF"/>
        </w:rPr>
      </w:pPr>
    </w:p>
    <w:p w:rsidR="002E5934" w:rsidRPr="00F34491" w:rsidRDefault="002E5934" w:rsidP="004A03AC">
      <w:pPr>
        <w:autoSpaceDE w:val="0"/>
        <w:autoSpaceDN w:val="0"/>
        <w:adjustRightInd w:val="0"/>
      </w:pPr>
    </w:p>
    <w:p w:rsidR="004A03AC" w:rsidRDefault="004A03AC" w:rsidP="004A03AC">
      <w:pPr>
        <w:rPr>
          <w:sz w:val="36"/>
          <w:szCs w:val="36"/>
        </w:rPr>
      </w:pPr>
      <w:r>
        <w:rPr>
          <w:sz w:val="36"/>
          <w:szCs w:val="36"/>
        </w:rPr>
        <w:t>Action</w:t>
      </w:r>
    </w:p>
    <w:p w:rsidR="00B76FF1" w:rsidRDefault="004A03AC" w:rsidP="004A0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/>
      </w:pPr>
      <w:r>
        <w:t>M</w:t>
      </w:r>
      <w:r w:rsidRPr="00F428D0">
        <w:t xml:space="preserve">ake sure </w:t>
      </w:r>
      <w:r w:rsidR="00E83D05">
        <w:t>adult education and literacy</w:t>
      </w:r>
      <w:r w:rsidR="008F419A">
        <w:t xml:space="preserve"> and Workforce Solutions </w:t>
      </w:r>
      <w:r w:rsidRPr="00F428D0">
        <w:t xml:space="preserve">staff </w:t>
      </w:r>
      <w:r>
        <w:t xml:space="preserve">members </w:t>
      </w:r>
      <w:r w:rsidR="00B76FF1">
        <w:t xml:space="preserve">understand TANF-funded </w:t>
      </w:r>
      <w:r w:rsidR="00E83D05">
        <w:t>adult education and literacy</w:t>
      </w:r>
      <w:r w:rsidR="00B76FF1">
        <w:t xml:space="preserve"> service eligibility.</w:t>
      </w:r>
    </w:p>
    <w:p w:rsidR="00B76FF1" w:rsidRPr="00B76FF1" w:rsidRDefault="00B76FF1" w:rsidP="004A0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/>
      </w:pPr>
      <w:r>
        <w:t xml:space="preserve">Make sure that </w:t>
      </w:r>
      <w:r w:rsidR="00E83D05">
        <w:t>adult education and literacy</w:t>
      </w:r>
      <w:r w:rsidR="009E3313">
        <w:t xml:space="preserve"> </w:t>
      </w:r>
      <w:r>
        <w:t xml:space="preserve">staff members are aware that an </w:t>
      </w:r>
      <w:r>
        <w:rPr>
          <w:shd w:val="clear" w:color="auto" w:fill="FFFFFF"/>
        </w:rPr>
        <w:t xml:space="preserve">individual eligibility determination process is required for </w:t>
      </w:r>
      <w:r w:rsidR="00E83D05">
        <w:t>adult education and literacy</w:t>
      </w:r>
      <w:r>
        <w:rPr>
          <w:shd w:val="clear" w:color="auto" w:fill="FFFFFF"/>
        </w:rPr>
        <w:t xml:space="preserve"> service.</w:t>
      </w:r>
    </w:p>
    <w:p w:rsidR="006676F7" w:rsidRPr="006676F7" w:rsidRDefault="00B76FF1" w:rsidP="004A0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/>
      </w:pPr>
      <w:r w:rsidRPr="006676F7">
        <w:rPr>
          <w:shd w:val="clear" w:color="auto" w:fill="FFFFFF"/>
        </w:rPr>
        <w:t xml:space="preserve">Ensure that </w:t>
      </w:r>
      <w:r w:rsidR="00E83D05">
        <w:t>adult education and literacy</w:t>
      </w:r>
      <w:r w:rsidR="008F419A">
        <w:rPr>
          <w:shd w:val="clear" w:color="auto" w:fill="FFFFFF"/>
        </w:rPr>
        <w:t xml:space="preserve"> and Workforce Solutions </w:t>
      </w:r>
      <w:r w:rsidRPr="006676F7">
        <w:rPr>
          <w:shd w:val="clear" w:color="auto" w:fill="FFFFFF"/>
        </w:rPr>
        <w:t>staff</w:t>
      </w:r>
      <w:r w:rsidR="006676F7" w:rsidRPr="006676F7">
        <w:rPr>
          <w:shd w:val="clear" w:color="auto" w:fill="FFFFFF"/>
        </w:rPr>
        <w:t xml:space="preserve"> members are familiar with the appropriate entities </w:t>
      </w:r>
      <w:r w:rsidR="006676F7">
        <w:rPr>
          <w:shd w:val="clear" w:color="auto" w:fill="FFFFFF"/>
        </w:rPr>
        <w:t>from which to</w:t>
      </w:r>
      <w:r w:rsidR="006676F7" w:rsidRPr="006676F7">
        <w:rPr>
          <w:shd w:val="clear" w:color="auto" w:fill="FFFFFF"/>
        </w:rPr>
        <w:t xml:space="preserve"> request documentation for TANF-funded </w:t>
      </w:r>
      <w:r w:rsidR="00E83D05">
        <w:t>adult education and literacy</w:t>
      </w:r>
      <w:r w:rsidR="006676F7" w:rsidRPr="006676F7">
        <w:rPr>
          <w:shd w:val="clear" w:color="auto" w:fill="FFFFFF"/>
        </w:rPr>
        <w:t xml:space="preserve"> service. </w:t>
      </w:r>
    </w:p>
    <w:p w:rsidR="006676F7" w:rsidRPr="00646CFB" w:rsidRDefault="006676F7" w:rsidP="004A0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/>
      </w:pPr>
      <w:r>
        <w:rPr>
          <w:shd w:val="clear" w:color="auto" w:fill="FFFFFF"/>
        </w:rPr>
        <w:t>Ensure that Workforce Solutions staff members are responsive to documentation requests.</w:t>
      </w:r>
    </w:p>
    <w:p w:rsidR="00646CFB" w:rsidRPr="003D6C72" w:rsidRDefault="00113421" w:rsidP="004A0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/>
      </w:pPr>
      <w:r>
        <w:rPr>
          <w:shd w:val="clear" w:color="auto" w:fill="FFFFFF"/>
        </w:rPr>
        <w:t xml:space="preserve">As always, </w:t>
      </w:r>
      <w:r w:rsidR="00E83D05">
        <w:t>adult education and literacy</w:t>
      </w:r>
      <w:r w:rsidR="008F419A">
        <w:rPr>
          <w:shd w:val="clear" w:color="auto" w:fill="FFFFFF"/>
        </w:rPr>
        <w:t xml:space="preserve"> and Workforce Solutions </w:t>
      </w:r>
      <w:r>
        <w:rPr>
          <w:shd w:val="clear" w:color="auto" w:fill="FFFFFF"/>
        </w:rPr>
        <w:t>staff members should make every effort to safeguard personally identifiable information (PII).</w:t>
      </w:r>
      <w:r w:rsidR="003D6C72">
        <w:rPr>
          <w:shd w:val="clear" w:color="auto" w:fill="FFFFFF"/>
        </w:rPr>
        <w:t xml:space="preserve">  Guidance for safeguarding PII can be found on pages 8 through 10 of the </w:t>
      </w:r>
      <w:hyperlink r:id="rId13" w:history="1">
        <w:r w:rsidR="003D6C72" w:rsidRPr="001E7BDA">
          <w:rPr>
            <w:rStyle w:val="Hyperlink"/>
            <w:shd w:val="clear" w:color="auto" w:fill="FFFFFF"/>
          </w:rPr>
          <w:t>Information Security Standards and Guidelines</w:t>
        </w:r>
      </w:hyperlink>
      <w:r w:rsidR="001E7BDA">
        <w:rPr>
          <w:shd w:val="clear" w:color="auto" w:fill="FFFFFF"/>
        </w:rPr>
        <w:t>.</w:t>
      </w:r>
    </w:p>
    <w:p w:rsidR="004A03AC" w:rsidRDefault="004A03AC" w:rsidP="004A03AC">
      <w:pPr>
        <w:autoSpaceDE w:val="0"/>
        <w:autoSpaceDN w:val="0"/>
        <w:adjustRightInd w:val="0"/>
      </w:pPr>
    </w:p>
    <w:p w:rsidR="006676F7" w:rsidRDefault="006676F7" w:rsidP="004A03AC">
      <w:pPr>
        <w:autoSpaceDE w:val="0"/>
        <w:autoSpaceDN w:val="0"/>
        <w:adjustRightInd w:val="0"/>
      </w:pPr>
    </w:p>
    <w:p w:rsidR="004A03AC" w:rsidRDefault="004A03AC" w:rsidP="004A03AC">
      <w:pPr>
        <w:autoSpaceDE w:val="0"/>
        <w:autoSpaceDN w:val="0"/>
        <w:adjustRightInd w:val="0"/>
        <w:spacing w:after="60"/>
        <w:rPr>
          <w:sz w:val="36"/>
          <w:szCs w:val="36"/>
        </w:rPr>
      </w:pPr>
      <w:r>
        <w:rPr>
          <w:sz w:val="36"/>
          <w:szCs w:val="36"/>
        </w:rPr>
        <w:t>Questions</w:t>
      </w:r>
    </w:p>
    <w:p w:rsidR="00AF308A" w:rsidRDefault="004A03AC" w:rsidP="00A77190">
      <w:pPr>
        <w:autoSpaceDE w:val="0"/>
        <w:autoSpaceDN w:val="0"/>
        <w:adjustRightInd w:val="0"/>
      </w:pPr>
      <w:r>
        <w:t xml:space="preserve">Staff should ask questions of their supervisors first.  Direct questions for Board staff through the </w:t>
      </w:r>
      <w:hyperlink r:id="rId14" w:history="1">
        <w:r w:rsidRPr="001E7BDA">
          <w:rPr>
            <w:rStyle w:val="Hyperlink"/>
          </w:rPr>
          <w:t>Issuance Q&amp;A</w:t>
        </w:r>
      </w:hyperlink>
      <w:r w:rsidR="00CE64B6">
        <w:t>.</w:t>
      </w:r>
    </w:p>
    <w:sectPr w:rsidR="00AF308A" w:rsidSect="001E7B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70" w:right="1440" w:bottom="1440" w:left="1440" w:header="720" w:footer="5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566" w:rsidRDefault="00D11566" w:rsidP="000A0BA7">
      <w:r>
        <w:separator/>
      </w:r>
    </w:p>
  </w:endnote>
  <w:endnote w:type="continuationSeparator" w:id="0">
    <w:p w:rsidR="00D11566" w:rsidRDefault="00D11566" w:rsidP="000A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D7" w:rsidRDefault="00A20C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DA" w:rsidRDefault="001E7BDA" w:rsidP="001E7BDA">
    <w:pPr>
      <w:pStyle w:val="Footer"/>
      <w:jc w:val="right"/>
    </w:pPr>
    <w:r>
      <w:t>WS 15-07 Adult Education and Literacy - Temporary Assistance for Needy Families Eligibility</w:t>
    </w:r>
  </w:p>
  <w:p w:rsidR="001E7BDA" w:rsidRDefault="001E7BDA" w:rsidP="001E7BDA">
    <w:pPr>
      <w:jc w:val="right"/>
    </w:pPr>
    <w:r>
      <w:t>March</w:t>
    </w:r>
    <w:r w:rsidR="00A20CD7">
      <w:t xml:space="preserve"> 31, </w:t>
    </w:r>
    <w:r>
      <w:t>2015--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516E36">
            <w:rPr>
              <w:noProof/>
            </w:rPr>
            <w:t>4</w:t>
          </w:r>
        </w:fldSimple>
        <w:r>
          <w:t xml:space="preserve"> of </w:t>
        </w:r>
        <w:fldSimple w:instr=" NUMPAGES  ">
          <w:r w:rsidR="00516E36">
            <w:rPr>
              <w:noProof/>
            </w:rPr>
            <w:t>4</w:t>
          </w:r>
        </w:fldSimple>
      </w:sdtContent>
    </w:sdt>
  </w:p>
  <w:p w:rsidR="001E7BDA" w:rsidRDefault="001E7B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D7" w:rsidRDefault="00A20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566" w:rsidRDefault="00D11566" w:rsidP="000A0BA7">
      <w:r>
        <w:separator/>
      </w:r>
    </w:p>
  </w:footnote>
  <w:footnote w:type="continuationSeparator" w:id="0">
    <w:p w:rsidR="00D11566" w:rsidRDefault="00D11566" w:rsidP="000A0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D7" w:rsidRDefault="00A20C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D7" w:rsidRDefault="00A20C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D7" w:rsidRDefault="00A20C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1112"/>
    <w:multiLevelType w:val="multilevel"/>
    <w:tmpl w:val="2D4A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54470"/>
    <w:multiLevelType w:val="hybridMultilevel"/>
    <w:tmpl w:val="7E22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44423"/>
    <w:multiLevelType w:val="hybridMultilevel"/>
    <w:tmpl w:val="8C3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4308A"/>
    <w:multiLevelType w:val="hybridMultilevel"/>
    <w:tmpl w:val="0FD85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02999"/>
    <w:multiLevelType w:val="hybridMultilevel"/>
    <w:tmpl w:val="F9749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7194"/>
    <w:multiLevelType w:val="hybridMultilevel"/>
    <w:tmpl w:val="123E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E62495"/>
    <w:multiLevelType w:val="hybridMultilevel"/>
    <w:tmpl w:val="56D2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CB9"/>
    <w:multiLevelType w:val="hybridMultilevel"/>
    <w:tmpl w:val="3CAC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17081"/>
    <w:multiLevelType w:val="hybridMultilevel"/>
    <w:tmpl w:val="9BA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0013"/>
    <w:multiLevelType w:val="hybridMultilevel"/>
    <w:tmpl w:val="9FA6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77323"/>
    <w:multiLevelType w:val="hybridMultilevel"/>
    <w:tmpl w:val="C702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B73FB"/>
    <w:multiLevelType w:val="hybridMultilevel"/>
    <w:tmpl w:val="70668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1C7A78"/>
    <w:multiLevelType w:val="hybridMultilevel"/>
    <w:tmpl w:val="1F4A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F7618"/>
    <w:multiLevelType w:val="hybridMultilevel"/>
    <w:tmpl w:val="B25A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2025A"/>
    <w:rsid w:val="0000067F"/>
    <w:rsid w:val="0001711B"/>
    <w:rsid w:val="00063666"/>
    <w:rsid w:val="000825BD"/>
    <w:rsid w:val="000937F6"/>
    <w:rsid w:val="000A0BA7"/>
    <w:rsid w:val="000A485B"/>
    <w:rsid w:val="000C5760"/>
    <w:rsid w:val="00113421"/>
    <w:rsid w:val="001263F4"/>
    <w:rsid w:val="00141739"/>
    <w:rsid w:val="00157A5F"/>
    <w:rsid w:val="001E7BDA"/>
    <w:rsid w:val="0020264E"/>
    <w:rsid w:val="00202C6B"/>
    <w:rsid w:val="002578A8"/>
    <w:rsid w:val="002D18F4"/>
    <w:rsid w:val="002E5934"/>
    <w:rsid w:val="00334E38"/>
    <w:rsid w:val="00352B71"/>
    <w:rsid w:val="003829BD"/>
    <w:rsid w:val="003902CE"/>
    <w:rsid w:val="00391009"/>
    <w:rsid w:val="003A0AA3"/>
    <w:rsid w:val="003D6C72"/>
    <w:rsid w:val="003D7C90"/>
    <w:rsid w:val="00432A0C"/>
    <w:rsid w:val="004332AA"/>
    <w:rsid w:val="00497F93"/>
    <w:rsid w:val="004A03AC"/>
    <w:rsid w:val="004F2F56"/>
    <w:rsid w:val="004F4CAE"/>
    <w:rsid w:val="00516E36"/>
    <w:rsid w:val="005A1E74"/>
    <w:rsid w:val="005B0411"/>
    <w:rsid w:val="005C4612"/>
    <w:rsid w:val="006144DA"/>
    <w:rsid w:val="00640636"/>
    <w:rsid w:val="00646CFB"/>
    <w:rsid w:val="00664482"/>
    <w:rsid w:val="006676F7"/>
    <w:rsid w:val="00677F55"/>
    <w:rsid w:val="006854DA"/>
    <w:rsid w:val="006B3BB1"/>
    <w:rsid w:val="006C11D0"/>
    <w:rsid w:val="0070357B"/>
    <w:rsid w:val="00704B36"/>
    <w:rsid w:val="00716732"/>
    <w:rsid w:val="007436D6"/>
    <w:rsid w:val="007653F9"/>
    <w:rsid w:val="00767AEC"/>
    <w:rsid w:val="0082025A"/>
    <w:rsid w:val="00863721"/>
    <w:rsid w:val="008B28DD"/>
    <w:rsid w:val="008C0B3B"/>
    <w:rsid w:val="008D5AAF"/>
    <w:rsid w:val="008F419A"/>
    <w:rsid w:val="009050B4"/>
    <w:rsid w:val="00951EBC"/>
    <w:rsid w:val="00962983"/>
    <w:rsid w:val="009661ED"/>
    <w:rsid w:val="009E0C6F"/>
    <w:rsid w:val="009E3313"/>
    <w:rsid w:val="00A20CD7"/>
    <w:rsid w:val="00A35F42"/>
    <w:rsid w:val="00A704D1"/>
    <w:rsid w:val="00A76608"/>
    <w:rsid w:val="00A77190"/>
    <w:rsid w:val="00AE4C09"/>
    <w:rsid w:val="00AE7926"/>
    <w:rsid w:val="00AF03F0"/>
    <w:rsid w:val="00AF308A"/>
    <w:rsid w:val="00B20BCA"/>
    <w:rsid w:val="00B2760E"/>
    <w:rsid w:val="00B51C30"/>
    <w:rsid w:val="00B76FF1"/>
    <w:rsid w:val="00B93583"/>
    <w:rsid w:val="00BB3963"/>
    <w:rsid w:val="00BC226B"/>
    <w:rsid w:val="00BF6A7D"/>
    <w:rsid w:val="00C02BF1"/>
    <w:rsid w:val="00C21106"/>
    <w:rsid w:val="00C6246C"/>
    <w:rsid w:val="00C84EF4"/>
    <w:rsid w:val="00C858CE"/>
    <w:rsid w:val="00CB4DF0"/>
    <w:rsid w:val="00CB7680"/>
    <w:rsid w:val="00CE3E74"/>
    <w:rsid w:val="00CE64B6"/>
    <w:rsid w:val="00D11566"/>
    <w:rsid w:val="00D23737"/>
    <w:rsid w:val="00D23853"/>
    <w:rsid w:val="00D26F3C"/>
    <w:rsid w:val="00D72871"/>
    <w:rsid w:val="00DA723B"/>
    <w:rsid w:val="00DB7184"/>
    <w:rsid w:val="00DC5F5D"/>
    <w:rsid w:val="00DD0805"/>
    <w:rsid w:val="00DD0F5F"/>
    <w:rsid w:val="00DD2DC8"/>
    <w:rsid w:val="00E660D5"/>
    <w:rsid w:val="00E83D05"/>
    <w:rsid w:val="00EB116A"/>
    <w:rsid w:val="00EB6A50"/>
    <w:rsid w:val="00EC05D2"/>
    <w:rsid w:val="00EC24AF"/>
    <w:rsid w:val="00ED6AFD"/>
    <w:rsid w:val="00F34491"/>
    <w:rsid w:val="00F66ADB"/>
    <w:rsid w:val="00F75112"/>
    <w:rsid w:val="00F831D9"/>
    <w:rsid w:val="00F942F6"/>
    <w:rsid w:val="00FA2B86"/>
    <w:rsid w:val="00FA5A7E"/>
    <w:rsid w:val="00FD5CAA"/>
    <w:rsid w:val="00FF201F"/>
    <w:rsid w:val="00FF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3AC"/>
    <w:pPr>
      <w:keepNext/>
      <w:pBdr>
        <w:bottom w:val="single" w:sz="4" w:space="10" w:color="auto"/>
      </w:pBdr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0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BA7"/>
  </w:style>
  <w:style w:type="paragraph" w:styleId="Footer">
    <w:name w:val="footer"/>
    <w:basedOn w:val="Normal"/>
    <w:link w:val="FooterChar"/>
    <w:uiPriority w:val="99"/>
    <w:semiHidden/>
    <w:unhideWhenUsed/>
    <w:rsid w:val="000A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BA7"/>
  </w:style>
  <w:style w:type="character" w:customStyle="1" w:styleId="Heading7Char">
    <w:name w:val="Heading 7 Char"/>
    <w:basedOn w:val="DefaultParagraphFont"/>
    <w:link w:val="Heading7"/>
    <w:uiPriority w:val="9"/>
    <w:rsid w:val="004A03AC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4A03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3AC"/>
    <w:pPr>
      <w:spacing w:before="240" w:after="240"/>
      <w:ind w:left="720" w:right="158"/>
    </w:pPr>
  </w:style>
  <w:style w:type="character" w:styleId="CommentReference">
    <w:name w:val="annotation reference"/>
    <w:basedOn w:val="DefaultParagraphFont"/>
    <w:uiPriority w:val="99"/>
    <w:semiHidden/>
    <w:unhideWhenUsed/>
    <w:rsid w:val="004A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3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A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36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436D6"/>
    <w:rPr>
      <w:b/>
      <w:bCs/>
    </w:rPr>
  </w:style>
  <w:style w:type="character" w:customStyle="1" w:styleId="apple-converted-space">
    <w:name w:val="apple-converted-space"/>
    <w:basedOn w:val="DefaultParagraphFont"/>
    <w:rsid w:val="007436D6"/>
  </w:style>
  <w:style w:type="character" w:styleId="HTMLAcronym">
    <w:name w:val="HTML Acronym"/>
    <w:basedOn w:val="DefaultParagraphFont"/>
    <w:uiPriority w:val="99"/>
    <w:semiHidden/>
    <w:unhideWhenUsed/>
    <w:rsid w:val="007436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80"/>
    <w:rPr>
      <w:b/>
      <w:bCs/>
    </w:rPr>
  </w:style>
  <w:style w:type="paragraph" w:customStyle="1" w:styleId="Default">
    <w:name w:val="Default"/>
    <w:rsid w:val="00FF2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7B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rksolutions.com/Documents/Staff/IS/Information-Security-Standards-and-Guidelines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rksolutions.com/Documents/Staff/AEL-Services/Adult-Education-Literacy-TANF-Eligibility-Documentation-Forms.xls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ksolutions.com/Documents/Staff/AEL-Services/Adult-Education-Literacy-TANF-Eligibility-Documentation-Forms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rksolutions.com/ael-servic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wrksolutions.com/Documents/Staff/AEL-Services/Adult-Education-Literacy-TANF-Eligibility-Documentation-Forms.xlsx" TargetMode="External"/><Relationship Id="rId14" Type="http://schemas.openxmlformats.org/officeDocument/2006/relationships/hyperlink" Target="http://www.wrksolutions.com/staff-resources/issuanc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81C2-9D2A-4552-8C8B-1D83C67F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fortune</dc:creator>
  <cp:lastModifiedBy>shideler</cp:lastModifiedBy>
  <cp:revision>2</cp:revision>
  <cp:lastPrinted>2015-03-03T21:07:00Z</cp:lastPrinted>
  <dcterms:created xsi:type="dcterms:W3CDTF">2015-04-14T16:24:00Z</dcterms:created>
  <dcterms:modified xsi:type="dcterms:W3CDTF">2015-04-14T16:24:00Z</dcterms:modified>
</cp:coreProperties>
</file>