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A2EDF" w14:textId="77777777" w:rsidR="00B944FF" w:rsidRPr="00B944FF" w:rsidRDefault="00B944FF" w:rsidP="00B944FF">
      <w:pPr>
        <w:spacing w:after="0" w:line="240" w:lineRule="auto"/>
        <w:rPr>
          <w:rFonts w:ascii="Times New Roman" w:eastAsia="Times New Roman" w:hAnsi="Times New Roman" w:cs="Times New Roman"/>
          <w:sz w:val="24"/>
          <w:szCs w:val="24"/>
        </w:rPr>
      </w:pPr>
    </w:p>
    <w:p w14:paraId="3BE612CF" w14:textId="1E4E49F0" w:rsidR="00CA1CC2" w:rsidRDefault="0038222F" w:rsidP="00CA1CC2">
      <w:pPr>
        <w:pStyle w:val="Default"/>
        <w:jc w:val="center"/>
        <w:rPr>
          <w:b/>
          <w:bCs/>
          <w:sz w:val="28"/>
          <w:szCs w:val="28"/>
        </w:rPr>
      </w:pPr>
      <w:r>
        <w:rPr>
          <w:b/>
          <w:bCs/>
          <w:sz w:val="28"/>
          <w:szCs w:val="28"/>
        </w:rPr>
        <w:t xml:space="preserve">Korn Ferry </w:t>
      </w:r>
      <w:r w:rsidR="004068F0" w:rsidRPr="00CA1CC2">
        <w:rPr>
          <w:b/>
          <w:bCs/>
          <w:sz w:val="28"/>
          <w:szCs w:val="28"/>
        </w:rPr>
        <w:t xml:space="preserve">Career Transitioning Services </w:t>
      </w:r>
      <w:r w:rsidR="004068F0">
        <w:rPr>
          <w:b/>
          <w:bCs/>
          <w:sz w:val="28"/>
          <w:szCs w:val="28"/>
        </w:rPr>
        <w:t>(CTS)</w:t>
      </w:r>
      <w:r w:rsidR="00CA1CC2">
        <w:rPr>
          <w:b/>
          <w:bCs/>
          <w:sz w:val="28"/>
          <w:szCs w:val="28"/>
        </w:rPr>
        <w:t xml:space="preserve"> </w:t>
      </w:r>
    </w:p>
    <w:p w14:paraId="35FE59ED" w14:textId="46FD1BB6" w:rsidR="00CA1CC2" w:rsidRPr="00CA1CC2" w:rsidRDefault="00CA1CC2" w:rsidP="00CA1CC2">
      <w:pPr>
        <w:pStyle w:val="Default"/>
        <w:jc w:val="center"/>
        <w:rPr>
          <w:b/>
          <w:bCs/>
          <w:sz w:val="28"/>
          <w:szCs w:val="28"/>
        </w:rPr>
      </w:pPr>
      <w:r>
        <w:rPr>
          <w:b/>
          <w:bCs/>
          <w:sz w:val="28"/>
          <w:szCs w:val="28"/>
        </w:rPr>
        <w:t>Data Entry Desk Aid</w:t>
      </w:r>
    </w:p>
    <w:p w14:paraId="1D656C4E" w14:textId="046C5590" w:rsidR="004068F0" w:rsidRDefault="004068F0" w:rsidP="00CA1CC2">
      <w:pPr>
        <w:pStyle w:val="Default"/>
        <w:jc w:val="center"/>
        <w:rPr>
          <w:b/>
          <w:bCs/>
          <w:sz w:val="28"/>
          <w:szCs w:val="28"/>
        </w:rPr>
      </w:pPr>
    </w:p>
    <w:p w14:paraId="6D736FC9" w14:textId="63163472" w:rsidR="00A035A5" w:rsidRPr="00122E8E" w:rsidRDefault="00A035A5" w:rsidP="00A035A5">
      <w:pPr>
        <w:pStyle w:val="Default"/>
        <w:spacing w:after="28"/>
        <w:rPr>
          <w:rFonts w:asciiTheme="minorHAnsi" w:hAnsiTheme="minorHAnsi" w:cstheme="minorHAnsi"/>
          <w:b/>
          <w:bCs/>
          <w:i/>
          <w:iCs/>
        </w:rPr>
      </w:pPr>
      <w:r w:rsidRPr="00122E8E">
        <w:rPr>
          <w:rFonts w:asciiTheme="minorHAnsi" w:hAnsiTheme="minorHAnsi" w:cstheme="minorHAnsi"/>
        </w:rPr>
        <w:t>Career Transitioning Services</w:t>
      </w:r>
      <w:r w:rsidR="0038222F">
        <w:rPr>
          <w:rFonts w:asciiTheme="minorHAnsi" w:hAnsiTheme="minorHAnsi" w:cstheme="minorHAnsi"/>
        </w:rPr>
        <w:t xml:space="preserve"> (CTS)</w:t>
      </w:r>
      <w:r w:rsidRPr="00122E8E">
        <w:rPr>
          <w:rFonts w:asciiTheme="minorHAnsi" w:hAnsiTheme="minorHAnsi" w:cstheme="minorHAnsi"/>
        </w:rPr>
        <w:t xml:space="preserve"> are available to RESEA </w:t>
      </w:r>
      <w:r w:rsidR="005313DA" w:rsidRPr="00122E8E">
        <w:rPr>
          <w:rFonts w:asciiTheme="minorHAnsi" w:hAnsiTheme="minorHAnsi" w:cstheme="minorHAnsi"/>
        </w:rPr>
        <w:t xml:space="preserve">and other eligible </w:t>
      </w:r>
      <w:r w:rsidRPr="00122E8E">
        <w:rPr>
          <w:rFonts w:asciiTheme="minorHAnsi" w:hAnsiTheme="minorHAnsi" w:cstheme="minorHAnsi"/>
        </w:rPr>
        <w:t xml:space="preserve">customers through Korn Ferry.  Korn Ferry will provide customers with structured job-seeking support, access to online resources, and chat-based career advisors. Korn Ferry services will be available for six months from the date of customer registration. </w:t>
      </w:r>
    </w:p>
    <w:p w14:paraId="5A450293" w14:textId="63BEB5A3" w:rsidR="00A035A5" w:rsidRDefault="00A035A5" w:rsidP="004068F0">
      <w:pPr>
        <w:pStyle w:val="Default"/>
        <w:spacing w:after="28"/>
        <w:rPr>
          <w:rFonts w:asciiTheme="minorHAnsi" w:hAnsiTheme="minorHAnsi" w:cstheme="minorHAnsi"/>
        </w:rPr>
      </w:pPr>
    </w:p>
    <w:p w14:paraId="557F8EF5" w14:textId="77777777" w:rsidR="00EA7326" w:rsidRPr="00122E8E" w:rsidRDefault="00E37C5E" w:rsidP="00EA7326">
      <w:pPr>
        <w:pStyle w:val="Default"/>
        <w:spacing w:after="28"/>
        <w:rPr>
          <w:rFonts w:asciiTheme="minorHAnsi" w:hAnsiTheme="minorHAnsi" w:cstheme="minorHAnsi"/>
          <w:b/>
          <w:bCs/>
          <w:i/>
          <w:iCs/>
        </w:rPr>
      </w:pPr>
      <w:r w:rsidRPr="008B61E9">
        <w:rPr>
          <w:b/>
          <w:i/>
          <w:iCs/>
        </w:rPr>
        <w:t>Workforce Solutions staff must enroll customers in CTS through WorkInTexas.com no later than January 27, 2023</w:t>
      </w:r>
      <w:r w:rsidR="00EA7326">
        <w:rPr>
          <w:b/>
          <w:i/>
          <w:iCs/>
        </w:rPr>
        <w:t xml:space="preserve">. </w:t>
      </w:r>
      <w:r w:rsidRPr="008B61E9">
        <w:rPr>
          <w:b/>
          <w:i/>
          <w:iCs/>
        </w:rPr>
        <w:t xml:space="preserve"> </w:t>
      </w:r>
      <w:r w:rsidR="00EA7326" w:rsidRPr="00122E8E">
        <w:rPr>
          <w:rFonts w:asciiTheme="minorHAnsi" w:hAnsiTheme="minorHAnsi" w:cstheme="minorHAnsi"/>
          <w:b/>
          <w:bCs/>
          <w:i/>
          <w:iCs/>
        </w:rPr>
        <w:t xml:space="preserve">To receive six months of services, customers must register no later than </w:t>
      </w:r>
      <w:r w:rsidR="00EA7326">
        <w:rPr>
          <w:rFonts w:asciiTheme="minorHAnsi" w:hAnsiTheme="minorHAnsi" w:cstheme="minorHAnsi"/>
          <w:b/>
          <w:bCs/>
          <w:i/>
          <w:iCs/>
        </w:rPr>
        <w:t>March 31, 2023</w:t>
      </w:r>
      <w:r w:rsidR="00EA7326" w:rsidRPr="00122E8E">
        <w:rPr>
          <w:rFonts w:asciiTheme="minorHAnsi" w:hAnsiTheme="minorHAnsi" w:cstheme="minorHAnsi"/>
          <w:b/>
          <w:bCs/>
          <w:i/>
          <w:iCs/>
        </w:rPr>
        <w:t xml:space="preserve">. </w:t>
      </w:r>
    </w:p>
    <w:p w14:paraId="264B123F" w14:textId="77777777" w:rsidR="00E37C5E" w:rsidRPr="00122E8E" w:rsidRDefault="00E37C5E" w:rsidP="004068F0">
      <w:pPr>
        <w:pStyle w:val="Default"/>
        <w:spacing w:after="28"/>
        <w:rPr>
          <w:rFonts w:asciiTheme="minorHAnsi" w:hAnsiTheme="minorHAnsi" w:cstheme="minorHAnsi"/>
        </w:rPr>
      </w:pPr>
    </w:p>
    <w:p w14:paraId="3EEE93A7" w14:textId="77777777" w:rsidR="005313DA" w:rsidRPr="00122E8E" w:rsidRDefault="005313DA" w:rsidP="00D45AB8">
      <w:pPr>
        <w:pStyle w:val="ListParagraph"/>
        <w:numPr>
          <w:ilvl w:val="0"/>
          <w:numId w:val="11"/>
        </w:numPr>
        <w:rPr>
          <w:rFonts w:cstheme="minorHAnsi"/>
          <w:b/>
          <w:bCs/>
          <w:sz w:val="24"/>
          <w:szCs w:val="24"/>
        </w:rPr>
      </w:pPr>
      <w:r w:rsidRPr="00122E8E">
        <w:rPr>
          <w:rFonts w:cstheme="minorHAnsi"/>
          <w:b/>
          <w:bCs/>
          <w:sz w:val="24"/>
          <w:szCs w:val="24"/>
        </w:rPr>
        <w:t>RESEA Customers</w:t>
      </w:r>
    </w:p>
    <w:p w14:paraId="7303E4DB" w14:textId="3248EB67" w:rsidR="00A017D6" w:rsidRPr="00122E8E" w:rsidRDefault="00A017D6" w:rsidP="00D45AB8">
      <w:pPr>
        <w:pStyle w:val="Default"/>
        <w:spacing w:after="28"/>
        <w:ind w:left="720"/>
        <w:rPr>
          <w:rFonts w:asciiTheme="minorHAnsi" w:hAnsiTheme="minorHAnsi" w:cstheme="minorHAnsi"/>
        </w:rPr>
      </w:pPr>
      <w:r w:rsidRPr="00122E8E">
        <w:rPr>
          <w:rFonts w:asciiTheme="minorHAnsi" w:hAnsiTheme="minorHAnsi" w:cstheme="minorHAnsi"/>
        </w:rPr>
        <w:t xml:space="preserve">Korn Ferry CTS is voluntary for RESEA claimants, and, therefore, if a customer chooses not to access these services, his or her unemployment insurance (UI) benefits will not be affected. Additionally, as of August 15, 2022, Korn Ferry CTS is considered an acceptable work search activity for all UI claimants, including RESEA customers.  </w:t>
      </w:r>
    </w:p>
    <w:p w14:paraId="327B9886" w14:textId="4A9718CE" w:rsidR="00A017D6" w:rsidRPr="00122E8E" w:rsidRDefault="00A017D6" w:rsidP="00D45AB8">
      <w:pPr>
        <w:pStyle w:val="Default"/>
        <w:spacing w:after="28"/>
        <w:ind w:left="720"/>
        <w:rPr>
          <w:rFonts w:asciiTheme="minorHAnsi" w:hAnsiTheme="minorHAnsi" w:cstheme="minorHAnsi"/>
        </w:rPr>
      </w:pPr>
    </w:p>
    <w:p w14:paraId="1BB3E1BB" w14:textId="77777777" w:rsidR="00021957" w:rsidRPr="00122E8E" w:rsidRDefault="00A017D6" w:rsidP="00D45AB8">
      <w:pPr>
        <w:pStyle w:val="Default"/>
        <w:spacing w:after="28"/>
        <w:ind w:left="720"/>
        <w:rPr>
          <w:rFonts w:asciiTheme="minorHAnsi" w:hAnsiTheme="minorHAnsi" w:cstheme="minorHAnsi"/>
        </w:rPr>
      </w:pPr>
      <w:r w:rsidRPr="00122E8E">
        <w:rPr>
          <w:rFonts w:asciiTheme="minorHAnsi" w:hAnsiTheme="minorHAnsi" w:cstheme="minorHAnsi"/>
        </w:rPr>
        <w:t>Workforce Solutions staff working with RESEA customers must</w:t>
      </w:r>
      <w:r w:rsidR="00021957" w:rsidRPr="00122E8E">
        <w:rPr>
          <w:rFonts w:asciiTheme="minorHAnsi" w:hAnsiTheme="minorHAnsi" w:cstheme="minorHAnsi"/>
        </w:rPr>
        <w:t>:</w:t>
      </w:r>
    </w:p>
    <w:p w14:paraId="2B3B7C63" w14:textId="5633F6A8" w:rsidR="00021957" w:rsidRPr="00122E8E" w:rsidRDefault="00021957" w:rsidP="00D45AB8">
      <w:pPr>
        <w:pStyle w:val="Default"/>
        <w:numPr>
          <w:ilvl w:val="0"/>
          <w:numId w:val="6"/>
        </w:numPr>
        <w:spacing w:after="28"/>
        <w:ind w:left="1440"/>
        <w:rPr>
          <w:rFonts w:asciiTheme="minorHAnsi" w:hAnsiTheme="minorHAnsi" w:cstheme="minorHAnsi"/>
        </w:rPr>
      </w:pPr>
      <w:r w:rsidRPr="00122E8E">
        <w:rPr>
          <w:rFonts w:asciiTheme="minorHAnsi" w:hAnsiTheme="minorHAnsi" w:cstheme="minorHAnsi"/>
        </w:rPr>
        <w:t>E</w:t>
      </w:r>
      <w:r w:rsidR="00A017D6" w:rsidRPr="00122E8E">
        <w:rPr>
          <w:rFonts w:asciiTheme="minorHAnsi" w:hAnsiTheme="minorHAnsi" w:cstheme="minorHAnsi"/>
        </w:rPr>
        <w:t xml:space="preserve">xplain </w:t>
      </w:r>
      <w:r w:rsidR="00D91EDF" w:rsidRPr="00122E8E">
        <w:rPr>
          <w:rFonts w:asciiTheme="minorHAnsi" w:hAnsiTheme="minorHAnsi" w:cstheme="minorHAnsi"/>
        </w:rPr>
        <w:t xml:space="preserve">to the customer </w:t>
      </w:r>
      <w:r w:rsidR="00A017D6" w:rsidRPr="00122E8E">
        <w:rPr>
          <w:rFonts w:asciiTheme="minorHAnsi" w:hAnsiTheme="minorHAnsi" w:cstheme="minorHAnsi"/>
        </w:rPr>
        <w:t xml:space="preserve">that they may record each hour involved in Korn Ferry CTS workshops or career coaching activities as a work search activity in their UI Work Search Log.  </w:t>
      </w:r>
    </w:p>
    <w:p w14:paraId="476FAB95" w14:textId="77777777" w:rsidR="00222BAB" w:rsidRDefault="00222BAB" w:rsidP="00222BAB">
      <w:pPr>
        <w:pStyle w:val="Default"/>
        <w:spacing w:after="28"/>
        <w:ind w:left="1440"/>
        <w:rPr>
          <w:rFonts w:asciiTheme="minorHAnsi" w:hAnsiTheme="minorHAnsi" w:cstheme="minorHAnsi"/>
        </w:rPr>
      </w:pPr>
    </w:p>
    <w:p w14:paraId="4E1F131A" w14:textId="7BFD81F6" w:rsidR="00A017D6" w:rsidRPr="00122E8E" w:rsidRDefault="00021957" w:rsidP="00D45AB8">
      <w:pPr>
        <w:pStyle w:val="Default"/>
        <w:numPr>
          <w:ilvl w:val="0"/>
          <w:numId w:val="6"/>
        </w:numPr>
        <w:spacing w:after="28"/>
        <w:ind w:left="1440"/>
        <w:rPr>
          <w:rFonts w:asciiTheme="minorHAnsi" w:hAnsiTheme="minorHAnsi" w:cstheme="minorHAnsi"/>
        </w:rPr>
      </w:pPr>
      <w:r w:rsidRPr="00122E8E">
        <w:rPr>
          <w:rFonts w:asciiTheme="minorHAnsi" w:hAnsiTheme="minorHAnsi" w:cstheme="minorHAnsi"/>
        </w:rPr>
        <w:t>P</w:t>
      </w:r>
      <w:r w:rsidR="00A017D6" w:rsidRPr="00122E8E">
        <w:rPr>
          <w:rFonts w:asciiTheme="minorHAnsi" w:hAnsiTheme="minorHAnsi" w:cstheme="minorHAnsi"/>
        </w:rPr>
        <w:t xml:space="preserve">rovide RESEA services according to the WS 20-06 Rapid Reemployment </w:t>
      </w:r>
      <w:r w:rsidRPr="00122E8E">
        <w:rPr>
          <w:rFonts w:asciiTheme="minorHAnsi" w:hAnsiTheme="minorHAnsi" w:cstheme="minorHAnsi"/>
        </w:rPr>
        <w:t>–</w:t>
      </w:r>
      <w:r w:rsidR="00A017D6" w:rsidRPr="00122E8E">
        <w:rPr>
          <w:rFonts w:asciiTheme="minorHAnsi" w:hAnsiTheme="minorHAnsi" w:cstheme="minorHAnsi"/>
        </w:rPr>
        <w:t xml:space="preserve"> </w:t>
      </w:r>
      <w:r w:rsidRPr="00122E8E">
        <w:rPr>
          <w:rFonts w:asciiTheme="minorHAnsi" w:hAnsiTheme="minorHAnsi" w:cstheme="minorHAnsi"/>
        </w:rPr>
        <w:t>Back to Work</w:t>
      </w:r>
      <w:r w:rsidR="00A017D6" w:rsidRPr="00122E8E">
        <w:rPr>
          <w:rFonts w:asciiTheme="minorHAnsi" w:hAnsiTheme="minorHAnsi" w:cstheme="minorHAnsi"/>
        </w:rPr>
        <w:t xml:space="preserve"> regardless of whether the </w:t>
      </w:r>
      <w:r w:rsidR="005C6F9D" w:rsidRPr="00122E8E">
        <w:rPr>
          <w:rFonts w:asciiTheme="minorHAnsi" w:hAnsiTheme="minorHAnsi" w:cstheme="minorHAnsi"/>
        </w:rPr>
        <w:t>customer</w:t>
      </w:r>
      <w:r w:rsidR="00A017D6" w:rsidRPr="00122E8E">
        <w:rPr>
          <w:rFonts w:asciiTheme="minorHAnsi" w:hAnsiTheme="minorHAnsi" w:cstheme="minorHAnsi"/>
        </w:rPr>
        <w:t xml:space="preserve"> receives CTS through Korn Ferry.</w:t>
      </w:r>
    </w:p>
    <w:p w14:paraId="4F39F93E" w14:textId="77777777" w:rsidR="00222BAB" w:rsidRDefault="00222BAB" w:rsidP="00222BAB">
      <w:pPr>
        <w:pStyle w:val="Default"/>
        <w:spacing w:after="28"/>
        <w:ind w:left="1440"/>
        <w:rPr>
          <w:rFonts w:asciiTheme="minorHAnsi" w:hAnsiTheme="minorHAnsi" w:cstheme="minorHAnsi"/>
        </w:rPr>
      </w:pPr>
    </w:p>
    <w:p w14:paraId="2EDD55CE" w14:textId="22165EA7" w:rsidR="00021957" w:rsidRPr="00122E8E" w:rsidRDefault="006C3A81" w:rsidP="00D45AB8">
      <w:pPr>
        <w:pStyle w:val="Default"/>
        <w:numPr>
          <w:ilvl w:val="0"/>
          <w:numId w:val="6"/>
        </w:numPr>
        <w:spacing w:after="28"/>
        <w:ind w:left="1440"/>
        <w:rPr>
          <w:rFonts w:asciiTheme="minorHAnsi" w:hAnsiTheme="minorHAnsi" w:cstheme="minorHAnsi"/>
        </w:rPr>
      </w:pPr>
      <w:r w:rsidRPr="00122E8E">
        <w:rPr>
          <w:rFonts w:asciiTheme="minorHAnsi" w:hAnsiTheme="minorHAnsi" w:cstheme="minorHAnsi"/>
        </w:rPr>
        <w:t>C</w:t>
      </w:r>
      <w:r w:rsidR="00021957" w:rsidRPr="00122E8E">
        <w:rPr>
          <w:rFonts w:asciiTheme="minorHAnsi" w:hAnsiTheme="minorHAnsi" w:cstheme="minorHAnsi"/>
        </w:rPr>
        <w:t>omplet</w:t>
      </w:r>
      <w:r w:rsidRPr="00122E8E">
        <w:rPr>
          <w:rFonts w:asciiTheme="minorHAnsi" w:hAnsiTheme="minorHAnsi" w:cstheme="minorHAnsi"/>
        </w:rPr>
        <w:t>e</w:t>
      </w:r>
      <w:r w:rsidR="00021957" w:rsidRPr="00122E8E">
        <w:rPr>
          <w:rFonts w:asciiTheme="minorHAnsi" w:hAnsiTheme="minorHAnsi" w:cstheme="minorHAnsi"/>
        </w:rPr>
        <w:t xml:space="preserve"> the following steps to enroll all RESEA </w:t>
      </w:r>
      <w:r w:rsidR="005C6F9D" w:rsidRPr="00122E8E">
        <w:rPr>
          <w:rFonts w:asciiTheme="minorHAnsi" w:hAnsiTheme="minorHAnsi" w:cstheme="minorHAnsi"/>
        </w:rPr>
        <w:t>customers</w:t>
      </w:r>
      <w:r w:rsidR="00021957" w:rsidRPr="00122E8E">
        <w:rPr>
          <w:rFonts w:asciiTheme="minorHAnsi" w:hAnsiTheme="minorHAnsi" w:cstheme="minorHAnsi"/>
        </w:rPr>
        <w:t xml:space="preserve"> in the Korn Ferry CTS program</w:t>
      </w:r>
      <w:r w:rsidR="00470E73" w:rsidRPr="00122E8E">
        <w:rPr>
          <w:rFonts w:asciiTheme="minorHAnsi" w:hAnsiTheme="minorHAnsi" w:cstheme="minorHAnsi"/>
        </w:rPr>
        <w:t xml:space="preserve"> on the same day as the required one-on-one RESEA services</w:t>
      </w:r>
      <w:r w:rsidR="00C7111F" w:rsidRPr="00122E8E">
        <w:rPr>
          <w:rFonts w:asciiTheme="minorHAnsi" w:hAnsiTheme="minorHAnsi" w:cstheme="minorHAnsi"/>
        </w:rPr>
        <w:t xml:space="preserve">, </w:t>
      </w:r>
      <w:r w:rsidR="00021957" w:rsidRPr="00122E8E">
        <w:rPr>
          <w:rFonts w:asciiTheme="minorHAnsi" w:hAnsiTheme="minorHAnsi" w:cstheme="minorHAnsi"/>
        </w:rPr>
        <w:t xml:space="preserve">even </w:t>
      </w:r>
      <w:r w:rsidR="00C7111F" w:rsidRPr="00122E8E">
        <w:rPr>
          <w:rFonts w:asciiTheme="minorHAnsi" w:hAnsiTheme="minorHAnsi" w:cstheme="minorHAnsi"/>
        </w:rPr>
        <w:t xml:space="preserve">if </w:t>
      </w:r>
      <w:r w:rsidR="00470E73" w:rsidRPr="00122E8E">
        <w:rPr>
          <w:rFonts w:asciiTheme="minorHAnsi" w:hAnsiTheme="minorHAnsi" w:cstheme="minorHAnsi"/>
        </w:rPr>
        <w:t>the customer</w:t>
      </w:r>
      <w:r w:rsidR="00021957" w:rsidRPr="00122E8E">
        <w:rPr>
          <w:rFonts w:asciiTheme="minorHAnsi" w:hAnsiTheme="minorHAnsi" w:cstheme="minorHAnsi"/>
        </w:rPr>
        <w:t xml:space="preserve"> </w:t>
      </w:r>
      <w:r w:rsidR="00FE691C" w:rsidRPr="00122E8E">
        <w:rPr>
          <w:rFonts w:asciiTheme="minorHAnsi" w:hAnsiTheme="minorHAnsi" w:cstheme="minorHAnsi"/>
        </w:rPr>
        <w:t>chooses</w:t>
      </w:r>
      <w:r w:rsidR="00021957" w:rsidRPr="00122E8E">
        <w:rPr>
          <w:rFonts w:asciiTheme="minorHAnsi" w:hAnsiTheme="minorHAnsi" w:cstheme="minorHAnsi"/>
        </w:rPr>
        <w:t xml:space="preserve"> not to register with Korn Ferry to receive services</w:t>
      </w:r>
      <w:r w:rsidR="00C7111F" w:rsidRPr="00122E8E">
        <w:rPr>
          <w:rFonts w:asciiTheme="minorHAnsi" w:hAnsiTheme="minorHAnsi" w:cstheme="minorHAnsi"/>
        </w:rPr>
        <w:t>:</w:t>
      </w:r>
      <w:r w:rsidR="00021957" w:rsidRPr="00122E8E">
        <w:rPr>
          <w:rFonts w:asciiTheme="minorHAnsi" w:hAnsiTheme="minorHAnsi" w:cstheme="minorHAnsi"/>
        </w:rPr>
        <w:t xml:space="preserve"> </w:t>
      </w:r>
    </w:p>
    <w:p w14:paraId="59C20D76" w14:textId="71FC52F5" w:rsidR="00021957" w:rsidRPr="00122E8E" w:rsidRDefault="00021957" w:rsidP="00D45AB8">
      <w:pPr>
        <w:pStyle w:val="ListParagraph"/>
        <w:numPr>
          <w:ilvl w:val="0"/>
          <w:numId w:val="7"/>
        </w:numPr>
        <w:spacing w:after="0" w:line="240" w:lineRule="auto"/>
        <w:ind w:left="2160" w:hanging="360"/>
        <w:rPr>
          <w:sz w:val="24"/>
          <w:szCs w:val="24"/>
        </w:rPr>
      </w:pPr>
      <w:r w:rsidRPr="00122E8E">
        <w:rPr>
          <w:sz w:val="24"/>
          <w:szCs w:val="24"/>
        </w:rPr>
        <w:t xml:space="preserve">Verify and document the following criteria in WorkInTexas.com: </w:t>
      </w:r>
    </w:p>
    <w:p w14:paraId="048B5CD6" w14:textId="780782A0" w:rsidR="00021957" w:rsidRPr="00122E8E" w:rsidRDefault="00021957" w:rsidP="00D45AB8">
      <w:pPr>
        <w:pStyle w:val="ListParagraph"/>
        <w:numPr>
          <w:ilvl w:val="3"/>
          <w:numId w:val="10"/>
        </w:numPr>
        <w:spacing w:after="0" w:line="240" w:lineRule="auto"/>
        <w:rPr>
          <w:sz w:val="24"/>
          <w:szCs w:val="24"/>
        </w:rPr>
      </w:pPr>
      <w:r w:rsidRPr="00122E8E">
        <w:rPr>
          <w:sz w:val="24"/>
          <w:szCs w:val="24"/>
        </w:rPr>
        <w:t>The RESEA orientation letter</w:t>
      </w:r>
    </w:p>
    <w:p w14:paraId="71751F9B" w14:textId="07FC843E" w:rsidR="00021957" w:rsidRPr="00122E8E" w:rsidRDefault="00021957" w:rsidP="00D45AB8">
      <w:pPr>
        <w:pStyle w:val="ListParagraph"/>
        <w:numPr>
          <w:ilvl w:val="3"/>
          <w:numId w:val="10"/>
        </w:numPr>
        <w:spacing w:after="0" w:line="240" w:lineRule="auto"/>
        <w:rPr>
          <w:sz w:val="24"/>
          <w:szCs w:val="24"/>
        </w:rPr>
      </w:pPr>
      <w:r w:rsidRPr="00122E8E">
        <w:rPr>
          <w:sz w:val="24"/>
          <w:szCs w:val="24"/>
        </w:rPr>
        <w:t xml:space="preserve">The </w:t>
      </w:r>
      <w:r w:rsidR="00C7111F" w:rsidRPr="00122E8E">
        <w:rPr>
          <w:sz w:val="24"/>
          <w:szCs w:val="24"/>
        </w:rPr>
        <w:t>customer’s</w:t>
      </w:r>
      <w:r w:rsidRPr="00122E8E">
        <w:rPr>
          <w:sz w:val="24"/>
          <w:szCs w:val="24"/>
        </w:rPr>
        <w:t xml:space="preserve"> identity through the completion of List B in the WIOA Authorization to Work form </w:t>
      </w:r>
    </w:p>
    <w:p w14:paraId="354A8168" w14:textId="127EADA9" w:rsidR="00021957" w:rsidRPr="00122E8E" w:rsidRDefault="00021957" w:rsidP="00D45AB8">
      <w:pPr>
        <w:pStyle w:val="ListParagraph"/>
        <w:numPr>
          <w:ilvl w:val="3"/>
          <w:numId w:val="10"/>
        </w:numPr>
        <w:spacing w:after="0" w:line="240" w:lineRule="auto"/>
        <w:rPr>
          <w:sz w:val="24"/>
          <w:szCs w:val="24"/>
        </w:rPr>
      </w:pPr>
      <w:r w:rsidRPr="00122E8E">
        <w:rPr>
          <w:sz w:val="24"/>
          <w:szCs w:val="24"/>
        </w:rPr>
        <w:t xml:space="preserve">The </w:t>
      </w:r>
      <w:r w:rsidR="00C7111F" w:rsidRPr="00122E8E">
        <w:rPr>
          <w:sz w:val="24"/>
          <w:szCs w:val="24"/>
        </w:rPr>
        <w:t>customer’s</w:t>
      </w:r>
      <w:r w:rsidRPr="00122E8E">
        <w:rPr>
          <w:sz w:val="24"/>
          <w:szCs w:val="24"/>
        </w:rPr>
        <w:t xml:space="preserve"> age</w:t>
      </w:r>
    </w:p>
    <w:p w14:paraId="0653559E" w14:textId="438B8AD1" w:rsidR="00021957" w:rsidRPr="00122E8E" w:rsidRDefault="00021957" w:rsidP="00D45AB8">
      <w:pPr>
        <w:pStyle w:val="ListParagraph"/>
        <w:numPr>
          <w:ilvl w:val="3"/>
          <w:numId w:val="10"/>
        </w:numPr>
        <w:spacing w:after="0" w:line="240" w:lineRule="auto"/>
        <w:rPr>
          <w:sz w:val="24"/>
          <w:szCs w:val="24"/>
        </w:rPr>
      </w:pPr>
      <w:r w:rsidRPr="00122E8E">
        <w:rPr>
          <w:sz w:val="24"/>
          <w:szCs w:val="24"/>
        </w:rPr>
        <w:t xml:space="preserve">Selective Service registration, as applicable, for male </w:t>
      </w:r>
      <w:r w:rsidR="00C7111F" w:rsidRPr="00122E8E">
        <w:rPr>
          <w:sz w:val="24"/>
          <w:szCs w:val="24"/>
        </w:rPr>
        <w:t>customers</w:t>
      </w:r>
    </w:p>
    <w:p w14:paraId="07806C4D" w14:textId="7D3D2DC2" w:rsidR="00222BAB" w:rsidRDefault="00021957" w:rsidP="003B3EE7">
      <w:pPr>
        <w:pStyle w:val="ListParagraph"/>
        <w:numPr>
          <w:ilvl w:val="3"/>
          <w:numId w:val="10"/>
        </w:numPr>
        <w:spacing w:after="240" w:line="240" w:lineRule="auto"/>
        <w:rPr>
          <w:sz w:val="24"/>
          <w:szCs w:val="24"/>
        </w:rPr>
      </w:pPr>
      <w:bookmarkStart w:id="0" w:name="_Hlk117751153"/>
      <w:bookmarkStart w:id="1" w:name="_Hlk112915981"/>
      <w:r w:rsidRPr="0093374C">
        <w:rPr>
          <w:sz w:val="24"/>
          <w:szCs w:val="24"/>
        </w:rPr>
        <w:t xml:space="preserve">Signed Orientation to Complaint </w:t>
      </w:r>
      <w:bookmarkEnd w:id="0"/>
    </w:p>
    <w:p w14:paraId="2F11556D" w14:textId="77777777" w:rsidR="0093374C" w:rsidRPr="0093374C" w:rsidRDefault="0093374C" w:rsidP="0093374C">
      <w:pPr>
        <w:pStyle w:val="ListParagraph"/>
        <w:spacing w:after="240" w:line="240" w:lineRule="auto"/>
        <w:ind w:left="2880"/>
        <w:rPr>
          <w:sz w:val="24"/>
          <w:szCs w:val="24"/>
        </w:rPr>
      </w:pPr>
    </w:p>
    <w:bookmarkEnd w:id="1"/>
    <w:p w14:paraId="436FBB98" w14:textId="45496D8F" w:rsidR="00021957" w:rsidRPr="00122E8E" w:rsidRDefault="00021957" w:rsidP="00D45AB8">
      <w:pPr>
        <w:pStyle w:val="ListParagraph"/>
        <w:numPr>
          <w:ilvl w:val="0"/>
          <w:numId w:val="7"/>
        </w:numPr>
        <w:spacing w:after="240" w:line="240" w:lineRule="auto"/>
        <w:ind w:left="2160" w:hanging="360"/>
        <w:rPr>
          <w:sz w:val="24"/>
          <w:szCs w:val="24"/>
        </w:rPr>
      </w:pPr>
      <w:r w:rsidRPr="00122E8E">
        <w:rPr>
          <w:sz w:val="24"/>
          <w:szCs w:val="24"/>
        </w:rPr>
        <w:t>Enroll</w:t>
      </w:r>
      <w:r w:rsidRPr="00122E8E" w:rsidDel="00B5567C">
        <w:rPr>
          <w:sz w:val="24"/>
          <w:szCs w:val="24"/>
        </w:rPr>
        <w:t xml:space="preserve"> </w:t>
      </w:r>
      <w:r w:rsidRPr="00122E8E">
        <w:rPr>
          <w:sz w:val="24"/>
          <w:szCs w:val="24"/>
        </w:rPr>
        <w:t xml:space="preserve">the </w:t>
      </w:r>
      <w:r w:rsidR="00C7111F" w:rsidRPr="00122E8E">
        <w:rPr>
          <w:sz w:val="24"/>
          <w:szCs w:val="24"/>
        </w:rPr>
        <w:t>customer</w:t>
      </w:r>
      <w:r w:rsidRPr="00122E8E">
        <w:rPr>
          <w:sz w:val="24"/>
          <w:szCs w:val="24"/>
        </w:rPr>
        <w:t xml:space="preserve"> in the Korn Ferry CTS program by: </w:t>
      </w:r>
    </w:p>
    <w:p w14:paraId="307C8B0A" w14:textId="374FFB0D" w:rsidR="00021957" w:rsidRPr="00122E8E" w:rsidRDefault="00021957" w:rsidP="00D45AB8">
      <w:pPr>
        <w:pStyle w:val="ListParagraph"/>
        <w:numPr>
          <w:ilvl w:val="2"/>
          <w:numId w:val="9"/>
        </w:numPr>
        <w:spacing w:after="240" w:line="240" w:lineRule="auto"/>
        <w:ind w:left="2880"/>
        <w:rPr>
          <w:sz w:val="24"/>
          <w:szCs w:val="24"/>
        </w:rPr>
      </w:pPr>
      <w:bookmarkStart w:id="2" w:name="_Hlk101772478"/>
      <w:r w:rsidRPr="00122E8E">
        <w:rPr>
          <w:sz w:val="24"/>
          <w:szCs w:val="24"/>
        </w:rPr>
        <w:t xml:space="preserve">Creating or </w:t>
      </w:r>
      <w:r w:rsidR="00667775" w:rsidRPr="00122E8E">
        <w:rPr>
          <w:sz w:val="24"/>
          <w:szCs w:val="24"/>
        </w:rPr>
        <w:t>editing</w:t>
      </w:r>
      <w:r w:rsidRPr="00122E8E">
        <w:rPr>
          <w:sz w:val="24"/>
          <w:szCs w:val="24"/>
        </w:rPr>
        <w:t xml:space="preserve"> the Wagner-Peyser</w:t>
      </w:r>
      <w:r w:rsidRPr="00122E8E" w:rsidDel="00025027">
        <w:rPr>
          <w:sz w:val="24"/>
          <w:szCs w:val="24"/>
        </w:rPr>
        <w:t xml:space="preserve"> </w:t>
      </w:r>
      <w:r w:rsidRPr="00122E8E">
        <w:rPr>
          <w:sz w:val="24"/>
          <w:szCs w:val="24"/>
        </w:rPr>
        <w:t>participation record in WorkInTexas.com; and</w:t>
      </w:r>
    </w:p>
    <w:p w14:paraId="34EEC9C9" w14:textId="6DF86F99" w:rsidR="00021957" w:rsidRDefault="00C605E7" w:rsidP="00D45AB8">
      <w:pPr>
        <w:pStyle w:val="ListParagraph"/>
        <w:numPr>
          <w:ilvl w:val="2"/>
          <w:numId w:val="9"/>
        </w:numPr>
        <w:spacing w:after="240" w:line="240" w:lineRule="auto"/>
        <w:ind w:left="2880"/>
        <w:rPr>
          <w:b/>
          <w:bCs/>
          <w:sz w:val="24"/>
          <w:szCs w:val="24"/>
        </w:rPr>
      </w:pPr>
      <w:r w:rsidRPr="00122E8E">
        <w:rPr>
          <w:sz w:val="24"/>
          <w:szCs w:val="24"/>
        </w:rPr>
        <w:lastRenderedPageBreak/>
        <w:t>S</w:t>
      </w:r>
      <w:r w:rsidR="00021957" w:rsidRPr="00122E8E">
        <w:rPr>
          <w:sz w:val="24"/>
          <w:szCs w:val="24"/>
        </w:rPr>
        <w:t xml:space="preserve">electing </w:t>
      </w:r>
      <w:r w:rsidR="00021957" w:rsidRPr="00122E8E">
        <w:rPr>
          <w:b/>
          <w:bCs/>
          <w:sz w:val="24"/>
          <w:szCs w:val="24"/>
        </w:rPr>
        <w:t>KF CTS – RESEA</w:t>
      </w:r>
      <w:r w:rsidR="00021957" w:rsidRPr="00122E8E">
        <w:rPr>
          <w:sz w:val="24"/>
          <w:szCs w:val="24"/>
        </w:rPr>
        <w:t xml:space="preserve"> from Special Project/Indicators options on the Miscellaneous tab of the Wagner-Peyser application.</w:t>
      </w:r>
      <w:r w:rsidR="00667775" w:rsidRPr="00122E8E">
        <w:rPr>
          <w:sz w:val="24"/>
          <w:szCs w:val="24"/>
        </w:rPr>
        <w:t xml:space="preserve"> </w:t>
      </w:r>
      <w:r w:rsidR="00667775" w:rsidRPr="00122E8E">
        <w:rPr>
          <w:b/>
          <w:bCs/>
          <w:sz w:val="24"/>
          <w:szCs w:val="24"/>
        </w:rPr>
        <w:t>(</w:t>
      </w:r>
      <w:r w:rsidR="009574E9" w:rsidRPr="00122E8E">
        <w:rPr>
          <w:b/>
          <w:bCs/>
          <w:sz w:val="24"/>
          <w:szCs w:val="24"/>
        </w:rPr>
        <w:t>See</w:t>
      </w:r>
      <w:r w:rsidR="00667775" w:rsidRPr="00122E8E">
        <w:rPr>
          <w:b/>
          <w:bCs/>
          <w:sz w:val="24"/>
          <w:szCs w:val="24"/>
        </w:rPr>
        <w:t xml:space="preserve"> </w:t>
      </w:r>
      <w:r w:rsidR="00B9112D" w:rsidRPr="00122E8E">
        <w:rPr>
          <w:b/>
          <w:bCs/>
          <w:sz w:val="24"/>
          <w:szCs w:val="24"/>
        </w:rPr>
        <w:t>Appendix</w:t>
      </w:r>
      <w:r w:rsidR="009574E9" w:rsidRPr="00122E8E">
        <w:rPr>
          <w:b/>
          <w:bCs/>
          <w:sz w:val="24"/>
          <w:szCs w:val="24"/>
        </w:rPr>
        <w:t xml:space="preserve"> 1</w:t>
      </w:r>
      <w:r w:rsidR="00667775" w:rsidRPr="00122E8E">
        <w:rPr>
          <w:b/>
          <w:bCs/>
          <w:sz w:val="24"/>
          <w:szCs w:val="24"/>
        </w:rPr>
        <w:t>)</w:t>
      </w:r>
    </w:p>
    <w:p w14:paraId="6EDE44AE" w14:textId="77777777" w:rsidR="00222BAB" w:rsidRPr="00122E8E" w:rsidRDefault="00222BAB" w:rsidP="00222BAB">
      <w:pPr>
        <w:pStyle w:val="ListParagraph"/>
        <w:spacing w:after="240" w:line="240" w:lineRule="auto"/>
        <w:ind w:left="2880"/>
        <w:rPr>
          <w:b/>
          <w:bCs/>
          <w:sz w:val="24"/>
          <w:szCs w:val="24"/>
        </w:rPr>
      </w:pPr>
    </w:p>
    <w:p w14:paraId="47C004FA" w14:textId="40D773CB" w:rsidR="00021957" w:rsidRPr="00AA3266" w:rsidRDefault="00021957" w:rsidP="00D45AB8">
      <w:pPr>
        <w:pStyle w:val="ListParagraph"/>
        <w:numPr>
          <w:ilvl w:val="0"/>
          <w:numId w:val="9"/>
        </w:numPr>
        <w:spacing w:after="240" w:line="240" w:lineRule="auto"/>
        <w:ind w:left="2160"/>
        <w:rPr>
          <w:sz w:val="24"/>
          <w:szCs w:val="24"/>
        </w:rPr>
      </w:pPr>
      <w:bookmarkStart w:id="3" w:name="_Hlk112915719"/>
      <w:r w:rsidRPr="00122E8E">
        <w:rPr>
          <w:sz w:val="24"/>
          <w:szCs w:val="24"/>
        </w:rPr>
        <w:t xml:space="preserve">Upload eligibility documents in </w:t>
      </w:r>
      <w:r w:rsidR="008D1D5E" w:rsidRPr="009218D9">
        <w:rPr>
          <w:b/>
          <w:bCs/>
          <w:sz w:val="24"/>
          <w:szCs w:val="24"/>
        </w:rPr>
        <w:t xml:space="preserve">DocuWare and </w:t>
      </w:r>
      <w:r w:rsidRPr="009218D9">
        <w:rPr>
          <w:b/>
          <w:bCs/>
          <w:sz w:val="24"/>
          <w:szCs w:val="24"/>
        </w:rPr>
        <w:t>WorkInTexas.com</w:t>
      </w:r>
      <w:r w:rsidRPr="00122E8E">
        <w:rPr>
          <w:sz w:val="24"/>
          <w:szCs w:val="24"/>
        </w:rPr>
        <w:t xml:space="preserve"> through the Documents (Staff) tab</w:t>
      </w:r>
      <w:r w:rsidR="00B9112D" w:rsidRPr="00122E8E">
        <w:rPr>
          <w:sz w:val="24"/>
          <w:szCs w:val="24"/>
        </w:rPr>
        <w:t xml:space="preserve"> </w:t>
      </w:r>
      <w:r w:rsidR="00B9112D" w:rsidRPr="00122E8E">
        <w:rPr>
          <w:b/>
          <w:bCs/>
          <w:sz w:val="24"/>
          <w:szCs w:val="24"/>
        </w:rPr>
        <w:t>(See Appendix 2)</w:t>
      </w:r>
    </w:p>
    <w:p w14:paraId="24821AE6" w14:textId="77777777" w:rsidR="00AA3266" w:rsidRPr="00122E8E" w:rsidRDefault="00AA3266" w:rsidP="00AA3266">
      <w:pPr>
        <w:pStyle w:val="ListParagraph"/>
        <w:spacing w:after="240" w:line="240" w:lineRule="auto"/>
        <w:ind w:left="2160"/>
        <w:rPr>
          <w:sz w:val="24"/>
          <w:szCs w:val="24"/>
        </w:rPr>
      </w:pPr>
    </w:p>
    <w:bookmarkEnd w:id="2"/>
    <w:bookmarkEnd w:id="3"/>
    <w:p w14:paraId="2C8BC64F" w14:textId="21519EA4" w:rsidR="00021957" w:rsidRDefault="00021957" w:rsidP="00D45AB8">
      <w:pPr>
        <w:pStyle w:val="ListParagraph"/>
        <w:numPr>
          <w:ilvl w:val="0"/>
          <w:numId w:val="8"/>
        </w:numPr>
        <w:spacing w:after="240" w:line="240" w:lineRule="auto"/>
        <w:ind w:left="2160"/>
        <w:rPr>
          <w:sz w:val="24"/>
          <w:szCs w:val="24"/>
        </w:rPr>
      </w:pPr>
      <w:r w:rsidRPr="00122E8E">
        <w:rPr>
          <w:sz w:val="24"/>
          <w:szCs w:val="24"/>
        </w:rPr>
        <w:t>Enter</w:t>
      </w:r>
      <w:r w:rsidRPr="00122E8E">
        <w:rPr>
          <w:b/>
          <w:sz w:val="24"/>
          <w:szCs w:val="24"/>
        </w:rPr>
        <w:t xml:space="preserve"> </w:t>
      </w:r>
      <w:r w:rsidR="00D91EDF" w:rsidRPr="00122E8E">
        <w:rPr>
          <w:sz w:val="24"/>
          <w:szCs w:val="24"/>
        </w:rPr>
        <w:t xml:space="preserve">service </w:t>
      </w:r>
      <w:r w:rsidR="00D91EDF" w:rsidRPr="00122E8E">
        <w:rPr>
          <w:b/>
          <w:bCs/>
          <w:sz w:val="24"/>
          <w:szCs w:val="24"/>
        </w:rPr>
        <w:t>VGS</w:t>
      </w:r>
      <w:r w:rsidRPr="00122E8E">
        <w:rPr>
          <w:b/>
          <w:bCs/>
          <w:sz w:val="24"/>
          <w:szCs w:val="24"/>
        </w:rPr>
        <w:t xml:space="preserve"> – (97, VGS) Career Guidance Services</w:t>
      </w:r>
      <w:r w:rsidRPr="00122E8E">
        <w:rPr>
          <w:sz w:val="24"/>
          <w:szCs w:val="24"/>
        </w:rPr>
        <w:t xml:space="preserve"> in WorkInTexas.com and attach a note including the statement </w:t>
      </w:r>
      <w:r w:rsidRPr="00122E8E">
        <w:rPr>
          <w:b/>
          <w:bCs/>
          <w:sz w:val="24"/>
          <w:szCs w:val="24"/>
        </w:rPr>
        <w:t>“RESEA claimant eligibility determined and referred to KF CTS.”</w:t>
      </w:r>
      <w:r w:rsidR="00667775" w:rsidRPr="00122E8E">
        <w:rPr>
          <w:b/>
          <w:bCs/>
          <w:sz w:val="24"/>
          <w:szCs w:val="24"/>
        </w:rPr>
        <w:t xml:space="preserve"> (</w:t>
      </w:r>
      <w:r w:rsidR="00B9112D" w:rsidRPr="00122E8E">
        <w:rPr>
          <w:b/>
          <w:bCs/>
          <w:sz w:val="24"/>
          <w:szCs w:val="24"/>
        </w:rPr>
        <w:t>See Appendix 3</w:t>
      </w:r>
      <w:r w:rsidR="00667775" w:rsidRPr="00122E8E">
        <w:rPr>
          <w:sz w:val="24"/>
          <w:szCs w:val="24"/>
        </w:rPr>
        <w:t>)</w:t>
      </w:r>
    </w:p>
    <w:p w14:paraId="533FAF00" w14:textId="77777777" w:rsidR="00AA3266" w:rsidRPr="00122E8E" w:rsidRDefault="00AA3266" w:rsidP="00AA3266">
      <w:pPr>
        <w:pStyle w:val="ListParagraph"/>
        <w:spacing w:after="240" w:line="240" w:lineRule="auto"/>
        <w:ind w:left="2160"/>
        <w:rPr>
          <w:sz w:val="24"/>
          <w:szCs w:val="24"/>
        </w:rPr>
      </w:pPr>
    </w:p>
    <w:p w14:paraId="02914C4D" w14:textId="081F3E01" w:rsidR="00021957" w:rsidRDefault="00021957" w:rsidP="00D45AB8">
      <w:pPr>
        <w:pStyle w:val="ListParagraph"/>
        <w:numPr>
          <w:ilvl w:val="0"/>
          <w:numId w:val="8"/>
        </w:numPr>
        <w:spacing w:after="240" w:line="240" w:lineRule="auto"/>
        <w:ind w:left="2160"/>
        <w:rPr>
          <w:sz w:val="24"/>
          <w:szCs w:val="24"/>
        </w:rPr>
      </w:pPr>
      <w:r w:rsidRPr="00122E8E">
        <w:rPr>
          <w:bCs/>
          <w:sz w:val="24"/>
          <w:szCs w:val="24"/>
        </w:rPr>
        <w:t>Confirm</w:t>
      </w:r>
      <w:r w:rsidRPr="00122E8E">
        <w:rPr>
          <w:sz w:val="24"/>
          <w:szCs w:val="24"/>
        </w:rPr>
        <w:t xml:space="preserve"> that the </w:t>
      </w:r>
      <w:r w:rsidR="00FE691C" w:rsidRPr="00122E8E">
        <w:rPr>
          <w:sz w:val="24"/>
          <w:szCs w:val="24"/>
        </w:rPr>
        <w:t>customer</w:t>
      </w:r>
      <w:r w:rsidRPr="00122E8E">
        <w:rPr>
          <w:sz w:val="24"/>
          <w:szCs w:val="24"/>
        </w:rPr>
        <w:t xml:space="preserve"> has a unique (not shared) email address in WorkInTexas.com or help the </w:t>
      </w:r>
      <w:r w:rsidR="00FE691C" w:rsidRPr="00122E8E">
        <w:rPr>
          <w:sz w:val="24"/>
          <w:szCs w:val="24"/>
        </w:rPr>
        <w:t>customer</w:t>
      </w:r>
      <w:r w:rsidRPr="00122E8E">
        <w:rPr>
          <w:sz w:val="24"/>
          <w:szCs w:val="24"/>
        </w:rPr>
        <w:t xml:space="preserve"> obtain such an email address. (TWC will use this email address to send the </w:t>
      </w:r>
      <w:r w:rsidR="008D4CB1" w:rsidRPr="00122E8E">
        <w:rPr>
          <w:sz w:val="24"/>
          <w:szCs w:val="24"/>
        </w:rPr>
        <w:t>customer</w:t>
      </w:r>
      <w:r w:rsidRPr="00122E8E">
        <w:rPr>
          <w:sz w:val="24"/>
          <w:szCs w:val="24"/>
        </w:rPr>
        <w:t xml:space="preserve"> a registration link for CTS.</w:t>
      </w:r>
      <w:r w:rsidR="00A4043A">
        <w:rPr>
          <w:sz w:val="24"/>
          <w:szCs w:val="24"/>
        </w:rPr>
        <w:t>)</w:t>
      </w:r>
    </w:p>
    <w:p w14:paraId="319A5700" w14:textId="77777777" w:rsidR="00A4043A" w:rsidRPr="00122E8E" w:rsidRDefault="00A4043A" w:rsidP="00A4043A">
      <w:pPr>
        <w:pStyle w:val="ListParagraph"/>
        <w:spacing w:after="240" w:line="240" w:lineRule="auto"/>
        <w:ind w:left="2160"/>
        <w:rPr>
          <w:sz w:val="24"/>
          <w:szCs w:val="24"/>
        </w:rPr>
      </w:pPr>
    </w:p>
    <w:p w14:paraId="1B28D0CC" w14:textId="434FE30F" w:rsidR="00021957" w:rsidRPr="00122E8E" w:rsidRDefault="00021957" w:rsidP="00D45AB8">
      <w:pPr>
        <w:pStyle w:val="ListParagraph"/>
        <w:numPr>
          <w:ilvl w:val="0"/>
          <w:numId w:val="8"/>
        </w:numPr>
        <w:spacing w:after="120" w:line="240" w:lineRule="auto"/>
        <w:ind w:left="2160"/>
        <w:rPr>
          <w:sz w:val="24"/>
          <w:szCs w:val="24"/>
        </w:rPr>
      </w:pPr>
      <w:r w:rsidRPr="00122E8E">
        <w:rPr>
          <w:sz w:val="24"/>
          <w:szCs w:val="24"/>
        </w:rPr>
        <w:t xml:space="preserve">Inform the </w:t>
      </w:r>
      <w:r w:rsidR="008D4CB1" w:rsidRPr="00122E8E">
        <w:rPr>
          <w:sz w:val="24"/>
          <w:szCs w:val="24"/>
        </w:rPr>
        <w:t>customer</w:t>
      </w:r>
      <w:r w:rsidRPr="00122E8E">
        <w:rPr>
          <w:sz w:val="24"/>
          <w:szCs w:val="24"/>
        </w:rPr>
        <w:t xml:space="preserve"> that he or she will receive a notice from TWC in the form of a GovDelivery email to register for CTS. </w:t>
      </w:r>
    </w:p>
    <w:p w14:paraId="24082693" w14:textId="77777777" w:rsidR="006A1EA3" w:rsidRPr="00122E8E" w:rsidRDefault="006A1EA3" w:rsidP="006A1EA3">
      <w:pPr>
        <w:pStyle w:val="ListParagraph"/>
        <w:spacing w:after="120" w:line="240" w:lineRule="auto"/>
        <w:ind w:left="2160"/>
        <w:rPr>
          <w:b/>
          <w:bCs/>
          <w:sz w:val="24"/>
          <w:szCs w:val="24"/>
        </w:rPr>
      </w:pPr>
    </w:p>
    <w:p w14:paraId="32956E8A" w14:textId="48B2E9FF" w:rsidR="00A035A5" w:rsidRPr="00122E8E" w:rsidRDefault="00D83AD5" w:rsidP="00D83AD5">
      <w:pPr>
        <w:pStyle w:val="ListParagraph"/>
        <w:numPr>
          <w:ilvl w:val="0"/>
          <w:numId w:val="11"/>
        </w:numPr>
        <w:rPr>
          <w:rFonts w:cstheme="minorHAnsi"/>
          <w:b/>
          <w:bCs/>
          <w:sz w:val="24"/>
          <w:szCs w:val="24"/>
        </w:rPr>
      </w:pPr>
      <w:r w:rsidRPr="00122E8E">
        <w:rPr>
          <w:rFonts w:cstheme="minorHAnsi"/>
          <w:b/>
          <w:bCs/>
          <w:sz w:val="24"/>
          <w:szCs w:val="24"/>
        </w:rPr>
        <w:t>Other Eligible C</w:t>
      </w:r>
      <w:r w:rsidR="001433A2" w:rsidRPr="00122E8E">
        <w:rPr>
          <w:rFonts w:cstheme="minorHAnsi"/>
          <w:b/>
          <w:bCs/>
          <w:sz w:val="24"/>
          <w:szCs w:val="24"/>
        </w:rPr>
        <w:t>u</w:t>
      </w:r>
      <w:r w:rsidRPr="00122E8E">
        <w:rPr>
          <w:rFonts w:cstheme="minorHAnsi"/>
          <w:b/>
          <w:bCs/>
          <w:sz w:val="24"/>
          <w:szCs w:val="24"/>
        </w:rPr>
        <w:t>stomers</w:t>
      </w:r>
    </w:p>
    <w:p w14:paraId="13D19143" w14:textId="48F64FE5" w:rsidR="001433A2" w:rsidRPr="00122E8E" w:rsidRDefault="00437F76" w:rsidP="008D1D5E">
      <w:pPr>
        <w:pStyle w:val="BodyTextIndent"/>
        <w:rPr>
          <w:sz w:val="24"/>
          <w:szCs w:val="24"/>
        </w:rPr>
      </w:pPr>
      <w:r w:rsidRPr="00122E8E">
        <w:rPr>
          <w:sz w:val="24"/>
          <w:szCs w:val="24"/>
        </w:rPr>
        <w:t xml:space="preserve">Workforce Solutions </w:t>
      </w:r>
      <w:r w:rsidR="00722C12" w:rsidRPr="00122E8E">
        <w:rPr>
          <w:sz w:val="24"/>
          <w:szCs w:val="24"/>
        </w:rPr>
        <w:t>staff may</w:t>
      </w:r>
      <w:r w:rsidR="003D741A" w:rsidRPr="00122E8E">
        <w:rPr>
          <w:sz w:val="24"/>
          <w:szCs w:val="24"/>
        </w:rPr>
        <w:t xml:space="preserve"> refer interested non-RESEA customers (including other UI claimants, Rapid Response attendees, and customers receiving</w:t>
      </w:r>
      <w:r w:rsidR="0001140C" w:rsidRPr="00122E8E">
        <w:rPr>
          <w:sz w:val="24"/>
          <w:szCs w:val="24"/>
        </w:rPr>
        <w:t xml:space="preserve"> </w:t>
      </w:r>
      <w:r w:rsidR="007921A0" w:rsidRPr="00122E8E">
        <w:rPr>
          <w:sz w:val="24"/>
          <w:szCs w:val="24"/>
        </w:rPr>
        <w:t>Substantial Assistance</w:t>
      </w:r>
      <w:r w:rsidR="003D741A" w:rsidRPr="00122E8E">
        <w:rPr>
          <w:sz w:val="24"/>
          <w:szCs w:val="24"/>
        </w:rPr>
        <w:t>) to enroll in the Korn Ferry CTS program if determined eligible.</w:t>
      </w:r>
    </w:p>
    <w:p w14:paraId="3B8ADDA4" w14:textId="11CE4670" w:rsidR="00A31239" w:rsidRPr="00122E8E" w:rsidRDefault="0047033E" w:rsidP="008A7413">
      <w:pPr>
        <w:pStyle w:val="Default"/>
        <w:numPr>
          <w:ilvl w:val="0"/>
          <w:numId w:val="13"/>
        </w:numPr>
        <w:spacing w:after="28"/>
        <w:rPr>
          <w:rFonts w:cstheme="minorHAnsi"/>
        </w:rPr>
      </w:pPr>
      <w:r w:rsidRPr="00122E8E">
        <w:rPr>
          <w:rFonts w:cstheme="minorHAnsi"/>
        </w:rPr>
        <w:t>Workforce Solutions staff must</w:t>
      </w:r>
      <w:r w:rsidR="002D6B50" w:rsidRPr="00122E8E">
        <w:rPr>
          <w:rFonts w:cstheme="minorHAnsi"/>
        </w:rPr>
        <w:t xml:space="preserve"> </w:t>
      </w:r>
      <w:r w:rsidR="00A31239" w:rsidRPr="00122E8E">
        <w:rPr>
          <w:rFonts w:cstheme="minorHAnsi"/>
        </w:rPr>
        <w:t xml:space="preserve">determine eligibility for individuals (excluding RESEA </w:t>
      </w:r>
      <w:r w:rsidR="00875B6A" w:rsidRPr="00122E8E">
        <w:rPr>
          <w:rFonts w:cstheme="minorHAnsi"/>
        </w:rPr>
        <w:t>customers</w:t>
      </w:r>
      <w:r w:rsidR="00A31239" w:rsidRPr="00122E8E">
        <w:rPr>
          <w:rFonts w:cstheme="minorHAnsi"/>
        </w:rPr>
        <w:t>) by completing the following steps:</w:t>
      </w:r>
    </w:p>
    <w:p w14:paraId="5965A555" w14:textId="13D60840" w:rsidR="00A31239" w:rsidRPr="00122E8E" w:rsidRDefault="00A31239" w:rsidP="008A7413">
      <w:pPr>
        <w:pStyle w:val="ListParagraph"/>
        <w:numPr>
          <w:ilvl w:val="0"/>
          <w:numId w:val="7"/>
        </w:numPr>
        <w:spacing w:after="0" w:line="240" w:lineRule="auto"/>
        <w:ind w:left="2160" w:hanging="360"/>
        <w:rPr>
          <w:rFonts w:cstheme="minorHAnsi"/>
          <w:sz w:val="24"/>
          <w:szCs w:val="24"/>
        </w:rPr>
      </w:pPr>
      <w:r w:rsidRPr="00122E8E">
        <w:rPr>
          <w:sz w:val="24"/>
          <w:szCs w:val="24"/>
        </w:rPr>
        <w:t>Conduct</w:t>
      </w:r>
      <w:r w:rsidRPr="00122E8E">
        <w:rPr>
          <w:rFonts w:cstheme="minorHAnsi"/>
          <w:sz w:val="24"/>
          <w:szCs w:val="24"/>
        </w:rPr>
        <w:t xml:space="preserve"> an eligibility determination by verifying and documenting the following criteria in WorkInTexas.com:</w:t>
      </w:r>
    </w:p>
    <w:p w14:paraId="2B849608" w14:textId="782D8B52" w:rsidR="00A31239" w:rsidRPr="00122E8E" w:rsidRDefault="00A31239" w:rsidP="008A7413">
      <w:pPr>
        <w:pStyle w:val="ListParagraph"/>
        <w:numPr>
          <w:ilvl w:val="2"/>
          <w:numId w:val="9"/>
        </w:numPr>
        <w:spacing w:after="240" w:line="240" w:lineRule="auto"/>
        <w:ind w:left="2880"/>
        <w:rPr>
          <w:sz w:val="24"/>
          <w:szCs w:val="24"/>
        </w:rPr>
      </w:pPr>
      <w:r w:rsidRPr="00122E8E">
        <w:rPr>
          <w:sz w:val="24"/>
          <w:szCs w:val="24"/>
        </w:rPr>
        <w:t>Eligibility to work in the United States (completed WIOA Authorization to Work form)</w:t>
      </w:r>
    </w:p>
    <w:p w14:paraId="187C76D1" w14:textId="6557417C" w:rsidR="00A31239" w:rsidRPr="00122E8E" w:rsidRDefault="00A31239" w:rsidP="008A7413">
      <w:pPr>
        <w:pStyle w:val="ListParagraph"/>
        <w:numPr>
          <w:ilvl w:val="2"/>
          <w:numId w:val="9"/>
        </w:numPr>
        <w:spacing w:after="240" w:line="240" w:lineRule="auto"/>
        <w:ind w:left="2880"/>
        <w:rPr>
          <w:sz w:val="24"/>
          <w:szCs w:val="24"/>
        </w:rPr>
      </w:pPr>
      <w:r w:rsidRPr="00122E8E">
        <w:rPr>
          <w:sz w:val="24"/>
          <w:szCs w:val="24"/>
        </w:rPr>
        <w:t>The individual is 18 years of age or older</w:t>
      </w:r>
    </w:p>
    <w:p w14:paraId="79E6F575" w14:textId="1BE2AFD6" w:rsidR="00A31239" w:rsidRPr="00122E8E" w:rsidRDefault="00A31239" w:rsidP="008A7413">
      <w:pPr>
        <w:pStyle w:val="ListParagraph"/>
        <w:numPr>
          <w:ilvl w:val="2"/>
          <w:numId w:val="9"/>
        </w:numPr>
        <w:spacing w:after="240" w:line="240" w:lineRule="auto"/>
        <w:ind w:left="2880"/>
        <w:rPr>
          <w:sz w:val="24"/>
          <w:szCs w:val="24"/>
        </w:rPr>
      </w:pPr>
      <w:r w:rsidRPr="00122E8E">
        <w:rPr>
          <w:sz w:val="24"/>
          <w:szCs w:val="24"/>
        </w:rPr>
        <w:t>Selective Service registration, as applicable, for male participants</w:t>
      </w:r>
    </w:p>
    <w:p w14:paraId="0D50EB35" w14:textId="599AD7B5" w:rsidR="00A4043A" w:rsidRDefault="00094080" w:rsidP="0093374C">
      <w:pPr>
        <w:pStyle w:val="ListParagraph"/>
        <w:numPr>
          <w:ilvl w:val="3"/>
          <w:numId w:val="10"/>
        </w:numPr>
        <w:spacing w:after="240" w:line="240" w:lineRule="auto"/>
        <w:rPr>
          <w:sz w:val="24"/>
          <w:szCs w:val="24"/>
        </w:rPr>
      </w:pPr>
      <w:r w:rsidRPr="0093374C">
        <w:rPr>
          <w:sz w:val="24"/>
          <w:szCs w:val="24"/>
        </w:rPr>
        <w:t xml:space="preserve">Signed Orientation to Complaint document </w:t>
      </w:r>
    </w:p>
    <w:p w14:paraId="24521D5D" w14:textId="77777777" w:rsidR="0093374C" w:rsidRPr="0093374C" w:rsidRDefault="0093374C" w:rsidP="0093374C">
      <w:pPr>
        <w:pStyle w:val="ListParagraph"/>
        <w:spacing w:after="240" w:line="240" w:lineRule="auto"/>
        <w:ind w:left="2880"/>
        <w:rPr>
          <w:sz w:val="24"/>
          <w:szCs w:val="24"/>
        </w:rPr>
      </w:pPr>
    </w:p>
    <w:p w14:paraId="2C63D3D7" w14:textId="745BF724" w:rsidR="00A31239" w:rsidRDefault="00A31239" w:rsidP="008A7413">
      <w:pPr>
        <w:pStyle w:val="ListParagraph"/>
        <w:numPr>
          <w:ilvl w:val="0"/>
          <w:numId w:val="7"/>
        </w:numPr>
        <w:spacing w:after="0" w:line="240" w:lineRule="auto"/>
        <w:ind w:left="2160" w:hanging="360"/>
        <w:rPr>
          <w:sz w:val="24"/>
          <w:szCs w:val="24"/>
        </w:rPr>
      </w:pPr>
      <w:r w:rsidRPr="00122E8E">
        <w:rPr>
          <w:sz w:val="24"/>
          <w:szCs w:val="24"/>
        </w:rPr>
        <w:t xml:space="preserve">Confirm that the </w:t>
      </w:r>
      <w:r w:rsidR="008A7413" w:rsidRPr="00122E8E">
        <w:rPr>
          <w:sz w:val="24"/>
          <w:szCs w:val="24"/>
        </w:rPr>
        <w:t>customer</w:t>
      </w:r>
      <w:r w:rsidRPr="00122E8E">
        <w:rPr>
          <w:sz w:val="24"/>
          <w:szCs w:val="24"/>
        </w:rPr>
        <w:t xml:space="preserve"> has a unique (not shared) email address in WorkInTexas.com or help the </w:t>
      </w:r>
      <w:r w:rsidR="008A7413" w:rsidRPr="00122E8E">
        <w:rPr>
          <w:sz w:val="24"/>
          <w:szCs w:val="24"/>
        </w:rPr>
        <w:t>customer</w:t>
      </w:r>
      <w:r w:rsidRPr="00122E8E">
        <w:rPr>
          <w:sz w:val="24"/>
          <w:szCs w:val="24"/>
        </w:rPr>
        <w:t xml:space="preserve"> obtain such an email address (TWC will use this email address to send the claimant a registration link for CTS.)</w:t>
      </w:r>
    </w:p>
    <w:p w14:paraId="07250456" w14:textId="77777777" w:rsidR="00A4043A" w:rsidRPr="00122E8E" w:rsidRDefault="00A4043A" w:rsidP="00A4043A">
      <w:pPr>
        <w:pStyle w:val="ListParagraph"/>
        <w:spacing w:after="0" w:line="240" w:lineRule="auto"/>
        <w:ind w:left="2160"/>
        <w:rPr>
          <w:sz w:val="24"/>
          <w:szCs w:val="24"/>
        </w:rPr>
      </w:pPr>
    </w:p>
    <w:p w14:paraId="42A4A306" w14:textId="2DDF5913" w:rsidR="00021BB8" w:rsidRPr="00122E8E" w:rsidRDefault="00021BB8" w:rsidP="004A2556">
      <w:pPr>
        <w:pStyle w:val="Default"/>
        <w:numPr>
          <w:ilvl w:val="0"/>
          <w:numId w:val="13"/>
        </w:numPr>
        <w:spacing w:after="28"/>
        <w:rPr>
          <w:rFonts w:cstheme="minorHAnsi"/>
        </w:rPr>
      </w:pPr>
      <w:r w:rsidRPr="00122E8E">
        <w:rPr>
          <w:rFonts w:cstheme="minorHAnsi"/>
        </w:rPr>
        <w:t xml:space="preserve">Workforce Solutions staff enroll eligible individuals (excluding RESEA </w:t>
      </w:r>
      <w:r w:rsidR="00AC39DA" w:rsidRPr="00122E8E">
        <w:rPr>
          <w:rFonts w:cstheme="minorHAnsi"/>
        </w:rPr>
        <w:t>customers</w:t>
      </w:r>
      <w:r w:rsidRPr="00122E8E">
        <w:rPr>
          <w:rFonts w:cstheme="minorHAnsi"/>
        </w:rPr>
        <w:t>) in the Korn Ferry CTS program by completing the following steps:</w:t>
      </w:r>
    </w:p>
    <w:p w14:paraId="410EE26A" w14:textId="32240C38" w:rsidR="00021BB8" w:rsidRDefault="00021BB8" w:rsidP="006C2C26">
      <w:pPr>
        <w:pStyle w:val="ListParagraph"/>
        <w:numPr>
          <w:ilvl w:val="0"/>
          <w:numId w:val="7"/>
        </w:numPr>
        <w:spacing w:after="0" w:line="240" w:lineRule="auto"/>
        <w:ind w:left="2160" w:hanging="360"/>
        <w:rPr>
          <w:sz w:val="24"/>
          <w:szCs w:val="24"/>
        </w:rPr>
      </w:pPr>
      <w:r w:rsidRPr="00122E8E">
        <w:rPr>
          <w:sz w:val="24"/>
          <w:szCs w:val="24"/>
        </w:rPr>
        <w:lastRenderedPageBreak/>
        <w:t>Create or update the Wagner-Peyser participation record in WorkInTexas.com.</w:t>
      </w:r>
    </w:p>
    <w:p w14:paraId="2BF583EE" w14:textId="77777777" w:rsidR="00A4043A" w:rsidRPr="00122E8E" w:rsidRDefault="00A4043A" w:rsidP="00A4043A">
      <w:pPr>
        <w:pStyle w:val="ListParagraph"/>
        <w:spacing w:after="0" w:line="240" w:lineRule="auto"/>
        <w:ind w:left="2160"/>
        <w:rPr>
          <w:sz w:val="24"/>
          <w:szCs w:val="24"/>
        </w:rPr>
      </w:pPr>
    </w:p>
    <w:p w14:paraId="07A1EA4D" w14:textId="7FE2F835" w:rsidR="00A4043A" w:rsidRPr="00A4043A" w:rsidRDefault="00021BB8" w:rsidP="00A4043A">
      <w:pPr>
        <w:pStyle w:val="ListParagraph"/>
        <w:numPr>
          <w:ilvl w:val="0"/>
          <w:numId w:val="7"/>
        </w:numPr>
        <w:spacing w:after="0" w:line="240" w:lineRule="auto"/>
        <w:ind w:left="2160" w:hanging="360"/>
        <w:rPr>
          <w:b/>
          <w:bCs/>
          <w:sz w:val="24"/>
          <w:szCs w:val="24"/>
        </w:rPr>
      </w:pPr>
      <w:r w:rsidRPr="00122E8E">
        <w:rPr>
          <w:sz w:val="24"/>
          <w:szCs w:val="24"/>
        </w:rPr>
        <w:t xml:space="preserve">Select </w:t>
      </w:r>
      <w:r w:rsidRPr="00122E8E">
        <w:rPr>
          <w:b/>
          <w:bCs/>
          <w:sz w:val="24"/>
          <w:szCs w:val="24"/>
        </w:rPr>
        <w:t>KF CTS – Other</w:t>
      </w:r>
      <w:r w:rsidRPr="00122E8E">
        <w:rPr>
          <w:sz w:val="24"/>
          <w:szCs w:val="24"/>
        </w:rPr>
        <w:t xml:space="preserve"> from the Special Project/Indicators options on the Miscellaneous tab of the Wagner-Peyser application.</w:t>
      </w:r>
      <w:r w:rsidR="00990E8D" w:rsidRPr="00122E8E">
        <w:rPr>
          <w:sz w:val="24"/>
          <w:szCs w:val="24"/>
        </w:rPr>
        <w:t xml:space="preserve"> </w:t>
      </w:r>
      <w:r w:rsidR="00122E8E" w:rsidRPr="00122E8E">
        <w:rPr>
          <w:b/>
          <w:bCs/>
          <w:sz w:val="24"/>
          <w:szCs w:val="24"/>
        </w:rPr>
        <w:t>(See Appendix 1)</w:t>
      </w:r>
    </w:p>
    <w:p w14:paraId="30DF7540" w14:textId="77777777" w:rsidR="00A4043A" w:rsidRDefault="00A4043A" w:rsidP="00A4043A">
      <w:pPr>
        <w:pStyle w:val="ListParagraph"/>
        <w:spacing w:after="0" w:line="240" w:lineRule="auto"/>
        <w:ind w:left="2160"/>
        <w:rPr>
          <w:b/>
          <w:bCs/>
          <w:sz w:val="24"/>
          <w:szCs w:val="24"/>
        </w:rPr>
      </w:pPr>
    </w:p>
    <w:p w14:paraId="55E0F7DF" w14:textId="1A64D9EB" w:rsidR="00A4043A" w:rsidRPr="00A4043A" w:rsidRDefault="00122E8E" w:rsidP="00A4043A">
      <w:pPr>
        <w:pStyle w:val="ListParagraph"/>
        <w:numPr>
          <w:ilvl w:val="0"/>
          <w:numId w:val="7"/>
        </w:numPr>
        <w:spacing w:after="0" w:line="240" w:lineRule="auto"/>
        <w:ind w:left="2160" w:hanging="360"/>
        <w:rPr>
          <w:sz w:val="24"/>
          <w:szCs w:val="24"/>
        </w:rPr>
      </w:pPr>
      <w:r w:rsidRPr="00122E8E">
        <w:rPr>
          <w:sz w:val="24"/>
          <w:szCs w:val="24"/>
        </w:rPr>
        <w:t xml:space="preserve">Upload eligibility documents in </w:t>
      </w:r>
      <w:r w:rsidRPr="009218D9">
        <w:rPr>
          <w:b/>
          <w:bCs/>
          <w:sz w:val="24"/>
          <w:szCs w:val="24"/>
        </w:rPr>
        <w:t>DocuWare and WorkInTexas.com</w:t>
      </w:r>
      <w:r w:rsidRPr="00122E8E">
        <w:rPr>
          <w:sz w:val="24"/>
          <w:szCs w:val="24"/>
        </w:rPr>
        <w:t xml:space="preserve"> through the Documents (Staff) tab</w:t>
      </w:r>
      <w:r>
        <w:rPr>
          <w:sz w:val="24"/>
          <w:szCs w:val="24"/>
        </w:rPr>
        <w:t xml:space="preserve"> </w:t>
      </w:r>
      <w:r w:rsidRPr="00122E8E">
        <w:rPr>
          <w:b/>
          <w:bCs/>
          <w:sz w:val="24"/>
          <w:szCs w:val="24"/>
        </w:rPr>
        <w:t>(See Appendix 2)</w:t>
      </w:r>
    </w:p>
    <w:p w14:paraId="0DD595D0" w14:textId="77777777" w:rsidR="00A4043A" w:rsidRPr="00122E8E" w:rsidRDefault="00A4043A" w:rsidP="00A4043A">
      <w:pPr>
        <w:pStyle w:val="ListParagraph"/>
        <w:spacing w:after="0" w:line="240" w:lineRule="auto"/>
        <w:ind w:left="2160"/>
        <w:rPr>
          <w:sz w:val="24"/>
          <w:szCs w:val="24"/>
        </w:rPr>
      </w:pPr>
    </w:p>
    <w:p w14:paraId="33679309" w14:textId="2A08BAFA" w:rsidR="00122E8E" w:rsidRDefault="00021BB8" w:rsidP="00122E8E">
      <w:pPr>
        <w:pStyle w:val="ListParagraph"/>
        <w:numPr>
          <w:ilvl w:val="0"/>
          <w:numId w:val="8"/>
        </w:numPr>
        <w:spacing w:after="240" w:line="240" w:lineRule="auto"/>
        <w:ind w:left="2160"/>
        <w:rPr>
          <w:sz w:val="24"/>
          <w:szCs w:val="24"/>
        </w:rPr>
      </w:pPr>
      <w:r w:rsidRPr="00122E8E">
        <w:rPr>
          <w:sz w:val="24"/>
          <w:szCs w:val="24"/>
        </w:rPr>
        <w:t xml:space="preserve">Enter service </w:t>
      </w:r>
      <w:r w:rsidRPr="00122E8E">
        <w:rPr>
          <w:b/>
          <w:bCs/>
          <w:sz w:val="24"/>
          <w:szCs w:val="24"/>
        </w:rPr>
        <w:t>VGS – (97, VGS</w:t>
      </w:r>
      <w:r w:rsidRPr="00122E8E">
        <w:rPr>
          <w:sz w:val="24"/>
          <w:szCs w:val="24"/>
        </w:rPr>
        <w:t xml:space="preserve">) </w:t>
      </w:r>
      <w:r w:rsidRPr="00122E8E">
        <w:rPr>
          <w:b/>
          <w:bCs/>
          <w:sz w:val="24"/>
          <w:szCs w:val="24"/>
        </w:rPr>
        <w:t>Career Guidance Services</w:t>
      </w:r>
      <w:r w:rsidRPr="00122E8E">
        <w:rPr>
          <w:sz w:val="24"/>
          <w:szCs w:val="24"/>
        </w:rPr>
        <w:t xml:space="preserve"> in WorkInTexas.com and attach a note including the statement </w:t>
      </w:r>
      <w:r w:rsidRPr="00122E8E">
        <w:rPr>
          <w:b/>
          <w:bCs/>
          <w:sz w:val="24"/>
          <w:szCs w:val="24"/>
        </w:rPr>
        <w:t>“Individual eligibility determined and referred to KF CTS. Not RESEA c</w:t>
      </w:r>
      <w:r w:rsidR="42D44DEC" w:rsidRPr="00122E8E">
        <w:rPr>
          <w:b/>
          <w:bCs/>
          <w:sz w:val="24"/>
          <w:szCs w:val="24"/>
        </w:rPr>
        <w:t>ustomer</w:t>
      </w:r>
      <w:r w:rsidRPr="00122E8E">
        <w:rPr>
          <w:b/>
          <w:bCs/>
          <w:sz w:val="24"/>
          <w:szCs w:val="24"/>
        </w:rPr>
        <w:t>.”</w:t>
      </w:r>
      <w:r w:rsidR="00990E8D" w:rsidRPr="00122E8E">
        <w:rPr>
          <w:b/>
          <w:bCs/>
          <w:sz w:val="24"/>
          <w:szCs w:val="24"/>
        </w:rPr>
        <w:t xml:space="preserve"> </w:t>
      </w:r>
      <w:r w:rsidR="00122E8E" w:rsidRPr="00122E8E">
        <w:rPr>
          <w:b/>
          <w:bCs/>
          <w:sz w:val="24"/>
          <w:szCs w:val="24"/>
        </w:rPr>
        <w:t>(See Appendix 3</w:t>
      </w:r>
      <w:r w:rsidR="00122E8E" w:rsidRPr="00122E8E">
        <w:rPr>
          <w:sz w:val="24"/>
          <w:szCs w:val="24"/>
        </w:rPr>
        <w:t>)</w:t>
      </w:r>
    </w:p>
    <w:p w14:paraId="2BF9E1E9" w14:textId="77777777" w:rsidR="00A4043A" w:rsidRPr="00122E8E" w:rsidRDefault="00A4043A" w:rsidP="00A4043A">
      <w:pPr>
        <w:pStyle w:val="ListParagraph"/>
        <w:spacing w:after="240" w:line="240" w:lineRule="auto"/>
        <w:ind w:left="2160"/>
        <w:rPr>
          <w:sz w:val="24"/>
          <w:szCs w:val="24"/>
        </w:rPr>
      </w:pPr>
    </w:p>
    <w:p w14:paraId="37EE73B6" w14:textId="25DC5814" w:rsidR="008D1D5E" w:rsidRPr="00122E8E" w:rsidRDefault="00021BB8" w:rsidP="006C2C26">
      <w:pPr>
        <w:pStyle w:val="ListParagraph"/>
        <w:numPr>
          <w:ilvl w:val="0"/>
          <w:numId w:val="7"/>
        </w:numPr>
        <w:spacing w:after="0" w:line="240" w:lineRule="auto"/>
        <w:ind w:left="2160" w:hanging="360"/>
        <w:rPr>
          <w:sz w:val="24"/>
          <w:szCs w:val="24"/>
        </w:rPr>
      </w:pPr>
      <w:r w:rsidRPr="00122E8E">
        <w:rPr>
          <w:sz w:val="24"/>
          <w:szCs w:val="24"/>
        </w:rPr>
        <w:t xml:space="preserve">Inform the </w:t>
      </w:r>
      <w:r w:rsidR="00D07461" w:rsidRPr="00122E8E">
        <w:rPr>
          <w:sz w:val="24"/>
          <w:szCs w:val="24"/>
        </w:rPr>
        <w:t>customer</w:t>
      </w:r>
      <w:r w:rsidRPr="00122E8E">
        <w:rPr>
          <w:sz w:val="24"/>
          <w:szCs w:val="24"/>
        </w:rPr>
        <w:t xml:space="preserve"> that he or she will receive a notice from TWC in the form of a GovDelivery email to register for CTS.</w:t>
      </w:r>
    </w:p>
    <w:p w14:paraId="112BCAF7" w14:textId="77777777" w:rsidR="008D1D5E" w:rsidRDefault="008D1D5E">
      <w:pPr>
        <w:rPr>
          <w:sz w:val="24"/>
          <w:szCs w:val="24"/>
        </w:rPr>
      </w:pPr>
      <w:r>
        <w:rPr>
          <w:sz w:val="24"/>
          <w:szCs w:val="24"/>
        </w:rPr>
        <w:br w:type="page"/>
      </w:r>
    </w:p>
    <w:p w14:paraId="6897E295" w14:textId="0C79B674" w:rsidR="00021BB8" w:rsidRDefault="007A5440" w:rsidP="00A657B6">
      <w:pPr>
        <w:pStyle w:val="ListParagraph"/>
        <w:spacing w:after="0" w:line="240" w:lineRule="auto"/>
        <w:ind w:left="0"/>
        <w:rPr>
          <w:b/>
          <w:bCs/>
          <w:sz w:val="24"/>
          <w:szCs w:val="24"/>
        </w:rPr>
      </w:pPr>
      <w:r>
        <w:rPr>
          <w:b/>
          <w:bCs/>
          <w:sz w:val="24"/>
          <w:szCs w:val="24"/>
        </w:rPr>
        <w:lastRenderedPageBreak/>
        <w:t>Appendix 1</w:t>
      </w:r>
      <w:r w:rsidR="006465B7" w:rsidRPr="00A657B6">
        <w:rPr>
          <w:b/>
          <w:bCs/>
          <w:sz w:val="24"/>
          <w:szCs w:val="24"/>
        </w:rPr>
        <w:t xml:space="preserve">: </w:t>
      </w:r>
      <w:r w:rsidR="000C2443" w:rsidRPr="00A657B6">
        <w:rPr>
          <w:b/>
          <w:bCs/>
          <w:sz w:val="24"/>
          <w:szCs w:val="24"/>
        </w:rPr>
        <w:t xml:space="preserve">WIT Steps to Enroll Customer in Korn Ferry </w:t>
      </w:r>
      <w:r w:rsidR="00FD6043">
        <w:rPr>
          <w:b/>
          <w:bCs/>
          <w:sz w:val="24"/>
          <w:szCs w:val="24"/>
        </w:rPr>
        <w:t xml:space="preserve">CTS </w:t>
      </w:r>
      <w:r w:rsidR="00A657B6" w:rsidRPr="00A657B6">
        <w:rPr>
          <w:b/>
          <w:bCs/>
          <w:sz w:val="24"/>
          <w:szCs w:val="24"/>
        </w:rPr>
        <w:t>Services</w:t>
      </w:r>
    </w:p>
    <w:p w14:paraId="34593BDC" w14:textId="2DA7A123" w:rsidR="00FD6043" w:rsidRDefault="00FD6043" w:rsidP="00A657B6">
      <w:pPr>
        <w:pStyle w:val="ListParagraph"/>
        <w:spacing w:after="0" w:line="240" w:lineRule="auto"/>
        <w:ind w:left="0"/>
        <w:rPr>
          <w:b/>
          <w:bCs/>
          <w:sz w:val="24"/>
          <w:szCs w:val="24"/>
        </w:rPr>
      </w:pPr>
    </w:p>
    <w:p w14:paraId="12DD8A9E" w14:textId="4818CD23" w:rsidR="00FD6043" w:rsidRDefault="00FD6043" w:rsidP="00A657B6">
      <w:pPr>
        <w:pStyle w:val="ListParagraph"/>
        <w:spacing w:after="0" w:line="240" w:lineRule="auto"/>
        <w:ind w:left="0"/>
        <w:rPr>
          <w:b/>
          <w:bCs/>
          <w:sz w:val="24"/>
          <w:szCs w:val="24"/>
        </w:rPr>
      </w:pPr>
      <w:r>
        <w:rPr>
          <w:b/>
          <w:bCs/>
          <w:noProof/>
          <w:sz w:val="24"/>
          <w:szCs w:val="24"/>
        </w:rPr>
        <w:drawing>
          <wp:inline distT="0" distB="0" distL="0" distR="0" wp14:anchorId="4FCEE5B4" wp14:editId="16B8BC34">
            <wp:extent cx="4914900" cy="2638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900" cy="2638425"/>
                    </a:xfrm>
                    <a:prstGeom prst="rect">
                      <a:avLst/>
                    </a:prstGeom>
                    <a:noFill/>
                    <a:ln>
                      <a:noFill/>
                    </a:ln>
                  </pic:spPr>
                </pic:pic>
              </a:graphicData>
            </a:graphic>
          </wp:inline>
        </w:drawing>
      </w:r>
    </w:p>
    <w:p w14:paraId="461D39E7" w14:textId="6A4323FD" w:rsidR="00FD6043" w:rsidRDefault="00FD6043" w:rsidP="00A657B6">
      <w:pPr>
        <w:pStyle w:val="ListParagraph"/>
        <w:spacing w:after="0" w:line="240" w:lineRule="auto"/>
        <w:ind w:left="0"/>
        <w:rPr>
          <w:b/>
          <w:bCs/>
          <w:sz w:val="24"/>
          <w:szCs w:val="24"/>
        </w:rPr>
      </w:pPr>
    </w:p>
    <w:p w14:paraId="2CC88F48" w14:textId="0B0814BA" w:rsidR="00FD6043" w:rsidRDefault="00464E3B" w:rsidP="00A657B6">
      <w:pPr>
        <w:pStyle w:val="ListParagraph"/>
        <w:spacing w:after="0" w:line="240" w:lineRule="auto"/>
        <w:ind w:left="0"/>
        <w:rPr>
          <w:b/>
          <w:bCs/>
          <w:sz w:val="24"/>
          <w:szCs w:val="24"/>
        </w:rPr>
      </w:pPr>
      <w:r>
        <w:rPr>
          <w:b/>
          <w:bCs/>
          <w:noProof/>
          <w:sz w:val="24"/>
          <w:szCs w:val="24"/>
        </w:rPr>
        <w:drawing>
          <wp:inline distT="0" distB="0" distL="0" distR="0" wp14:anchorId="5683E4A4" wp14:editId="04E3A800">
            <wp:extent cx="6419850" cy="2047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9850" cy="2047875"/>
                    </a:xfrm>
                    <a:prstGeom prst="rect">
                      <a:avLst/>
                    </a:prstGeom>
                    <a:noFill/>
                    <a:ln>
                      <a:noFill/>
                    </a:ln>
                  </pic:spPr>
                </pic:pic>
              </a:graphicData>
            </a:graphic>
          </wp:inline>
        </w:drawing>
      </w:r>
    </w:p>
    <w:p w14:paraId="5E7A03AA" w14:textId="09EB78E9" w:rsidR="00FD6043" w:rsidRDefault="00FD6043" w:rsidP="00A657B6">
      <w:pPr>
        <w:pStyle w:val="ListParagraph"/>
        <w:spacing w:after="0" w:line="240" w:lineRule="auto"/>
        <w:ind w:left="0"/>
        <w:rPr>
          <w:b/>
          <w:bCs/>
          <w:sz w:val="24"/>
          <w:szCs w:val="24"/>
        </w:rPr>
      </w:pPr>
    </w:p>
    <w:p w14:paraId="298A488E" w14:textId="095C5670" w:rsidR="00FD6043" w:rsidRDefault="0034448F" w:rsidP="00A657B6">
      <w:pPr>
        <w:pStyle w:val="ListParagraph"/>
        <w:spacing w:after="0" w:line="240" w:lineRule="auto"/>
        <w:ind w:left="0"/>
        <w:rPr>
          <w:b/>
          <w:bCs/>
          <w:sz w:val="24"/>
          <w:szCs w:val="24"/>
        </w:rPr>
      </w:pPr>
      <w:r>
        <w:rPr>
          <w:b/>
          <w:bCs/>
          <w:noProof/>
          <w:sz w:val="24"/>
          <w:szCs w:val="24"/>
        </w:rPr>
        <w:drawing>
          <wp:inline distT="0" distB="0" distL="0" distR="0" wp14:anchorId="53FB694D" wp14:editId="1ED5C110">
            <wp:extent cx="5934075" cy="1143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4075" cy="1143000"/>
                    </a:xfrm>
                    <a:prstGeom prst="rect">
                      <a:avLst/>
                    </a:prstGeom>
                    <a:noFill/>
                    <a:ln>
                      <a:noFill/>
                    </a:ln>
                  </pic:spPr>
                </pic:pic>
              </a:graphicData>
            </a:graphic>
          </wp:inline>
        </w:drawing>
      </w:r>
    </w:p>
    <w:p w14:paraId="7118AF50" w14:textId="5B0A9416" w:rsidR="00FD6043" w:rsidRDefault="00FD6043" w:rsidP="00A657B6">
      <w:pPr>
        <w:pStyle w:val="ListParagraph"/>
        <w:spacing w:after="0" w:line="240" w:lineRule="auto"/>
        <w:ind w:left="0"/>
        <w:rPr>
          <w:b/>
          <w:bCs/>
          <w:sz w:val="24"/>
          <w:szCs w:val="24"/>
        </w:rPr>
      </w:pPr>
    </w:p>
    <w:p w14:paraId="3FDFEBEE" w14:textId="0C6ADE6F" w:rsidR="00FD6043" w:rsidRDefault="00FD6043" w:rsidP="00A657B6">
      <w:pPr>
        <w:pStyle w:val="ListParagraph"/>
        <w:spacing w:after="0" w:line="240" w:lineRule="auto"/>
        <w:ind w:left="0"/>
        <w:rPr>
          <w:b/>
          <w:bCs/>
          <w:sz w:val="24"/>
          <w:szCs w:val="24"/>
        </w:rPr>
      </w:pPr>
    </w:p>
    <w:p w14:paraId="7AE3FB0C" w14:textId="1722FA71" w:rsidR="00FD6043" w:rsidRDefault="00FD6043" w:rsidP="00A657B6">
      <w:pPr>
        <w:pStyle w:val="ListParagraph"/>
        <w:spacing w:after="0" w:line="240" w:lineRule="auto"/>
        <w:ind w:left="0"/>
        <w:rPr>
          <w:b/>
          <w:bCs/>
          <w:sz w:val="24"/>
          <w:szCs w:val="24"/>
        </w:rPr>
      </w:pPr>
    </w:p>
    <w:p w14:paraId="33EE76ED" w14:textId="72095BF1" w:rsidR="00FD6043" w:rsidRDefault="00016D61" w:rsidP="00A657B6">
      <w:pPr>
        <w:pStyle w:val="ListParagraph"/>
        <w:spacing w:after="0" w:line="240" w:lineRule="auto"/>
        <w:ind w:left="0"/>
        <w:rPr>
          <w:b/>
          <w:bCs/>
          <w:sz w:val="24"/>
          <w:szCs w:val="24"/>
        </w:rPr>
      </w:pPr>
      <w:r>
        <w:rPr>
          <w:b/>
          <w:bCs/>
          <w:noProof/>
          <w:sz w:val="24"/>
          <w:szCs w:val="24"/>
        </w:rPr>
        <w:lastRenderedPageBreak/>
        <w:drawing>
          <wp:inline distT="0" distB="0" distL="0" distR="0" wp14:anchorId="2F032C4C" wp14:editId="3BF2F0B6">
            <wp:extent cx="5943600" cy="25717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2571750"/>
                    </a:xfrm>
                    <a:prstGeom prst="rect">
                      <a:avLst/>
                    </a:prstGeom>
                    <a:noFill/>
                    <a:ln>
                      <a:noFill/>
                    </a:ln>
                  </pic:spPr>
                </pic:pic>
              </a:graphicData>
            </a:graphic>
          </wp:inline>
        </w:drawing>
      </w:r>
    </w:p>
    <w:p w14:paraId="049BF260" w14:textId="6DAE00B9" w:rsidR="00FD6043" w:rsidRDefault="00FD6043" w:rsidP="00A657B6">
      <w:pPr>
        <w:pStyle w:val="ListParagraph"/>
        <w:spacing w:after="0" w:line="240" w:lineRule="auto"/>
        <w:ind w:left="0"/>
        <w:rPr>
          <w:b/>
          <w:bCs/>
          <w:sz w:val="24"/>
          <w:szCs w:val="24"/>
        </w:rPr>
      </w:pPr>
    </w:p>
    <w:p w14:paraId="475EADB8" w14:textId="163B5712" w:rsidR="00FD6043" w:rsidRDefault="00FD6043" w:rsidP="00A657B6">
      <w:pPr>
        <w:pStyle w:val="ListParagraph"/>
        <w:spacing w:after="0" w:line="240" w:lineRule="auto"/>
        <w:ind w:left="0"/>
        <w:rPr>
          <w:b/>
          <w:bCs/>
          <w:sz w:val="24"/>
          <w:szCs w:val="24"/>
        </w:rPr>
      </w:pPr>
    </w:p>
    <w:p w14:paraId="7D87FE3D" w14:textId="65316CE8" w:rsidR="00FD6043" w:rsidRDefault="00FD6043" w:rsidP="00A657B6">
      <w:pPr>
        <w:pStyle w:val="ListParagraph"/>
        <w:spacing w:after="0" w:line="240" w:lineRule="auto"/>
        <w:ind w:left="0"/>
        <w:rPr>
          <w:b/>
          <w:bCs/>
          <w:sz w:val="24"/>
          <w:szCs w:val="24"/>
        </w:rPr>
      </w:pPr>
    </w:p>
    <w:p w14:paraId="342BFF23" w14:textId="77777777" w:rsidR="00FD6043" w:rsidRDefault="00FD6043" w:rsidP="00A657B6">
      <w:pPr>
        <w:pStyle w:val="ListParagraph"/>
        <w:spacing w:after="0" w:line="240" w:lineRule="auto"/>
        <w:ind w:left="0"/>
        <w:rPr>
          <w:b/>
          <w:bCs/>
          <w:sz w:val="24"/>
          <w:szCs w:val="24"/>
        </w:rPr>
      </w:pPr>
    </w:p>
    <w:p w14:paraId="2753EF4A" w14:textId="5A0FB6E8" w:rsidR="00105279" w:rsidRDefault="00105279" w:rsidP="00A657B6">
      <w:pPr>
        <w:pStyle w:val="ListParagraph"/>
        <w:spacing w:after="0" w:line="240" w:lineRule="auto"/>
        <w:ind w:left="0"/>
        <w:rPr>
          <w:b/>
          <w:bCs/>
          <w:sz w:val="24"/>
          <w:szCs w:val="24"/>
        </w:rPr>
      </w:pPr>
    </w:p>
    <w:p w14:paraId="27E8D7FF" w14:textId="4D08B9A6" w:rsidR="00105279" w:rsidRPr="00B9112D" w:rsidRDefault="00B9112D" w:rsidP="00B9112D">
      <w:pPr>
        <w:spacing w:after="0" w:line="240" w:lineRule="auto"/>
        <w:rPr>
          <w:b/>
          <w:bCs/>
          <w:sz w:val="24"/>
          <w:szCs w:val="24"/>
        </w:rPr>
      </w:pPr>
      <w:r>
        <w:rPr>
          <w:b/>
          <w:bCs/>
          <w:sz w:val="24"/>
          <w:szCs w:val="24"/>
        </w:rPr>
        <w:t xml:space="preserve">Appendix </w:t>
      </w:r>
      <w:r w:rsidR="00011A25">
        <w:rPr>
          <w:b/>
          <w:bCs/>
          <w:sz w:val="24"/>
          <w:szCs w:val="24"/>
        </w:rPr>
        <w:t>2:</w:t>
      </w:r>
      <w:r w:rsidR="00011A25" w:rsidRPr="00B9112D">
        <w:rPr>
          <w:b/>
          <w:bCs/>
          <w:sz w:val="24"/>
          <w:szCs w:val="24"/>
        </w:rPr>
        <w:t xml:space="preserve"> Uploading</w:t>
      </w:r>
      <w:r w:rsidR="00BA5706" w:rsidRPr="00B9112D">
        <w:rPr>
          <w:b/>
          <w:bCs/>
          <w:sz w:val="24"/>
          <w:szCs w:val="24"/>
        </w:rPr>
        <w:t xml:space="preserve"> Document</w:t>
      </w:r>
      <w:r w:rsidR="00122E8E">
        <w:rPr>
          <w:b/>
          <w:bCs/>
          <w:sz w:val="24"/>
          <w:szCs w:val="24"/>
        </w:rPr>
        <w:t>s</w:t>
      </w:r>
      <w:r w:rsidR="00BA5706" w:rsidRPr="00B9112D">
        <w:rPr>
          <w:b/>
          <w:bCs/>
          <w:sz w:val="24"/>
          <w:szCs w:val="24"/>
        </w:rPr>
        <w:t xml:space="preserve"> in WIT</w:t>
      </w:r>
    </w:p>
    <w:p w14:paraId="6233BF09" w14:textId="393FCF03" w:rsidR="008D1D5E" w:rsidRDefault="008D1D5E" w:rsidP="008D1D5E">
      <w:pPr>
        <w:pStyle w:val="ListParagraph"/>
        <w:spacing w:after="0" w:line="240" w:lineRule="auto"/>
        <w:ind w:left="270"/>
        <w:rPr>
          <w:noProof/>
          <w:sz w:val="24"/>
          <w:szCs w:val="24"/>
        </w:rPr>
      </w:pPr>
    </w:p>
    <w:p w14:paraId="3CBFE243" w14:textId="2DE13878" w:rsidR="006465B7" w:rsidRDefault="00011A25" w:rsidP="008D1D5E">
      <w:pPr>
        <w:pStyle w:val="ListParagraph"/>
        <w:spacing w:after="0" w:line="240" w:lineRule="auto"/>
        <w:ind w:left="270"/>
        <w:rPr>
          <w:noProof/>
          <w:sz w:val="24"/>
          <w:szCs w:val="24"/>
        </w:rPr>
      </w:pPr>
      <w:r>
        <w:rPr>
          <w:noProof/>
          <w:sz w:val="24"/>
          <w:szCs w:val="24"/>
        </w:rPr>
        <w:drawing>
          <wp:inline distT="0" distB="0" distL="0" distR="0" wp14:anchorId="68AB5F05" wp14:editId="0EA1B039">
            <wp:extent cx="3889375" cy="264541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89375" cy="2645410"/>
                    </a:xfrm>
                    <a:prstGeom prst="rect">
                      <a:avLst/>
                    </a:prstGeom>
                    <a:noFill/>
                    <a:ln>
                      <a:noFill/>
                    </a:ln>
                  </pic:spPr>
                </pic:pic>
              </a:graphicData>
            </a:graphic>
          </wp:inline>
        </w:drawing>
      </w:r>
    </w:p>
    <w:p w14:paraId="34402844" w14:textId="1C5575EC" w:rsidR="00C50C6F" w:rsidRDefault="00C50C6F" w:rsidP="008D1D5E">
      <w:pPr>
        <w:pStyle w:val="ListParagraph"/>
        <w:spacing w:after="0" w:line="240" w:lineRule="auto"/>
        <w:ind w:left="270"/>
        <w:rPr>
          <w:noProof/>
          <w:sz w:val="24"/>
          <w:szCs w:val="24"/>
        </w:rPr>
      </w:pPr>
    </w:p>
    <w:p w14:paraId="1599A193" w14:textId="768E736F" w:rsidR="00C50C6F" w:rsidRDefault="00C50C6F" w:rsidP="008D1D5E">
      <w:pPr>
        <w:pStyle w:val="ListParagraph"/>
        <w:spacing w:after="0" w:line="240" w:lineRule="auto"/>
        <w:ind w:left="270"/>
        <w:rPr>
          <w:noProof/>
          <w:sz w:val="24"/>
          <w:szCs w:val="24"/>
        </w:rPr>
      </w:pPr>
      <w:r>
        <w:rPr>
          <w:noProof/>
          <w:sz w:val="24"/>
          <w:szCs w:val="24"/>
        </w:rPr>
        <w:lastRenderedPageBreak/>
        <w:drawing>
          <wp:inline distT="0" distB="0" distL="0" distR="0" wp14:anchorId="765FD510" wp14:editId="2DECF562">
            <wp:extent cx="5937250" cy="243840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7250" cy="2438400"/>
                    </a:xfrm>
                    <a:prstGeom prst="rect">
                      <a:avLst/>
                    </a:prstGeom>
                    <a:noFill/>
                    <a:ln>
                      <a:noFill/>
                    </a:ln>
                  </pic:spPr>
                </pic:pic>
              </a:graphicData>
            </a:graphic>
          </wp:inline>
        </w:drawing>
      </w:r>
    </w:p>
    <w:p w14:paraId="5D63B796" w14:textId="77777777" w:rsidR="006465B7" w:rsidRDefault="006465B7" w:rsidP="008D1D5E">
      <w:pPr>
        <w:pStyle w:val="ListParagraph"/>
        <w:spacing w:after="0" w:line="240" w:lineRule="auto"/>
        <w:ind w:left="270"/>
        <w:rPr>
          <w:sz w:val="24"/>
          <w:szCs w:val="24"/>
        </w:rPr>
      </w:pPr>
    </w:p>
    <w:p w14:paraId="22D96152" w14:textId="2DE61C17" w:rsidR="008D1D5E" w:rsidRDefault="008D1D5E" w:rsidP="008D1D5E">
      <w:pPr>
        <w:pStyle w:val="ListParagraph"/>
        <w:spacing w:after="0" w:line="240" w:lineRule="auto"/>
        <w:ind w:left="270"/>
        <w:rPr>
          <w:sz w:val="24"/>
          <w:szCs w:val="24"/>
        </w:rPr>
      </w:pPr>
    </w:p>
    <w:p w14:paraId="6FD0750B" w14:textId="5FF57AE8" w:rsidR="008D1D5E" w:rsidRDefault="008D1D5E" w:rsidP="008D1D5E">
      <w:pPr>
        <w:pStyle w:val="ListParagraph"/>
        <w:spacing w:after="0" w:line="240" w:lineRule="auto"/>
        <w:ind w:left="270"/>
        <w:rPr>
          <w:sz w:val="24"/>
          <w:szCs w:val="24"/>
        </w:rPr>
      </w:pPr>
    </w:p>
    <w:p w14:paraId="3BEC0E24" w14:textId="384FCDFB" w:rsidR="008D1D5E" w:rsidRDefault="008D1D5E" w:rsidP="008D1D5E">
      <w:pPr>
        <w:pStyle w:val="ListParagraph"/>
        <w:spacing w:after="0" w:line="240" w:lineRule="auto"/>
        <w:ind w:left="270"/>
        <w:rPr>
          <w:sz w:val="24"/>
          <w:szCs w:val="24"/>
        </w:rPr>
      </w:pPr>
    </w:p>
    <w:p w14:paraId="689DD592" w14:textId="76BACCEA" w:rsidR="008D1D5E" w:rsidRDefault="007E5299" w:rsidP="008D1D5E">
      <w:pPr>
        <w:pStyle w:val="ListParagraph"/>
        <w:spacing w:after="0" w:line="240" w:lineRule="auto"/>
        <w:ind w:left="270"/>
        <w:rPr>
          <w:sz w:val="24"/>
          <w:szCs w:val="24"/>
        </w:rPr>
      </w:pPr>
      <w:r>
        <w:rPr>
          <w:noProof/>
          <w:sz w:val="24"/>
          <w:szCs w:val="24"/>
        </w:rPr>
        <w:drawing>
          <wp:inline distT="0" distB="0" distL="0" distR="0" wp14:anchorId="02E28DF5" wp14:editId="1E0D13BC">
            <wp:extent cx="5937250" cy="368173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7250" cy="3681730"/>
                    </a:xfrm>
                    <a:prstGeom prst="rect">
                      <a:avLst/>
                    </a:prstGeom>
                    <a:noFill/>
                    <a:ln>
                      <a:noFill/>
                    </a:ln>
                  </pic:spPr>
                </pic:pic>
              </a:graphicData>
            </a:graphic>
          </wp:inline>
        </w:drawing>
      </w:r>
    </w:p>
    <w:p w14:paraId="405F7262" w14:textId="2538C80B" w:rsidR="008D1D5E" w:rsidRDefault="008D1D5E" w:rsidP="008D1D5E">
      <w:pPr>
        <w:pStyle w:val="ListParagraph"/>
        <w:spacing w:after="0" w:line="240" w:lineRule="auto"/>
        <w:ind w:left="270"/>
        <w:rPr>
          <w:sz w:val="24"/>
          <w:szCs w:val="24"/>
        </w:rPr>
      </w:pPr>
    </w:p>
    <w:p w14:paraId="1A663593" w14:textId="05E518B6" w:rsidR="00BA5706" w:rsidRPr="00011A25" w:rsidRDefault="00BA5706" w:rsidP="00011A25">
      <w:pPr>
        <w:spacing w:after="0" w:line="240" w:lineRule="auto"/>
        <w:rPr>
          <w:b/>
          <w:bCs/>
          <w:sz w:val="24"/>
          <w:szCs w:val="24"/>
        </w:rPr>
      </w:pPr>
    </w:p>
    <w:p w14:paraId="7F76C5A9" w14:textId="7440A6C7" w:rsidR="00670886" w:rsidRDefault="00670886" w:rsidP="008D1D5E">
      <w:pPr>
        <w:pStyle w:val="ListParagraph"/>
        <w:spacing w:after="0" w:line="240" w:lineRule="auto"/>
        <w:ind w:left="270"/>
        <w:rPr>
          <w:sz w:val="24"/>
          <w:szCs w:val="24"/>
        </w:rPr>
      </w:pPr>
    </w:p>
    <w:p w14:paraId="6F4B1554" w14:textId="2E7E2D3B" w:rsidR="00122E8E" w:rsidRDefault="00122E8E" w:rsidP="008D1D5E">
      <w:pPr>
        <w:pStyle w:val="ListParagraph"/>
        <w:spacing w:after="0" w:line="240" w:lineRule="auto"/>
        <w:ind w:left="270"/>
        <w:rPr>
          <w:sz w:val="24"/>
          <w:szCs w:val="24"/>
        </w:rPr>
      </w:pPr>
    </w:p>
    <w:p w14:paraId="3999F1B2" w14:textId="61DA1B85" w:rsidR="00122E8E" w:rsidRDefault="00122E8E" w:rsidP="008D1D5E">
      <w:pPr>
        <w:pStyle w:val="ListParagraph"/>
        <w:spacing w:after="0" w:line="240" w:lineRule="auto"/>
        <w:ind w:left="270"/>
        <w:rPr>
          <w:sz w:val="24"/>
          <w:szCs w:val="24"/>
        </w:rPr>
      </w:pPr>
    </w:p>
    <w:p w14:paraId="075E9FB3" w14:textId="54215C76" w:rsidR="00122E8E" w:rsidRDefault="00122E8E" w:rsidP="008D1D5E">
      <w:pPr>
        <w:pStyle w:val="ListParagraph"/>
        <w:spacing w:after="0" w:line="240" w:lineRule="auto"/>
        <w:ind w:left="270"/>
        <w:rPr>
          <w:sz w:val="24"/>
          <w:szCs w:val="24"/>
        </w:rPr>
      </w:pPr>
    </w:p>
    <w:p w14:paraId="1EE4EAD1" w14:textId="77777777" w:rsidR="00122E8E" w:rsidRDefault="00122E8E" w:rsidP="008D1D5E">
      <w:pPr>
        <w:pStyle w:val="ListParagraph"/>
        <w:spacing w:after="0" w:line="240" w:lineRule="auto"/>
        <w:ind w:left="270"/>
        <w:rPr>
          <w:sz w:val="24"/>
          <w:szCs w:val="24"/>
        </w:rPr>
      </w:pPr>
    </w:p>
    <w:p w14:paraId="71DE1A65" w14:textId="7C714BFA" w:rsidR="007E5299" w:rsidRPr="00B9112D" w:rsidRDefault="007E5299" w:rsidP="007E5299">
      <w:pPr>
        <w:spacing w:after="0" w:line="240" w:lineRule="auto"/>
        <w:rPr>
          <w:b/>
          <w:bCs/>
          <w:sz w:val="24"/>
          <w:szCs w:val="24"/>
        </w:rPr>
      </w:pPr>
      <w:r>
        <w:rPr>
          <w:b/>
          <w:bCs/>
          <w:sz w:val="24"/>
          <w:szCs w:val="24"/>
        </w:rPr>
        <w:lastRenderedPageBreak/>
        <w:t xml:space="preserve">Appendix </w:t>
      </w:r>
      <w:r w:rsidR="00B4701B">
        <w:rPr>
          <w:b/>
          <w:bCs/>
          <w:sz w:val="24"/>
          <w:szCs w:val="24"/>
        </w:rPr>
        <w:t>3</w:t>
      </w:r>
      <w:r>
        <w:rPr>
          <w:b/>
          <w:bCs/>
          <w:sz w:val="24"/>
          <w:szCs w:val="24"/>
        </w:rPr>
        <w:t>:</w:t>
      </w:r>
      <w:r w:rsidRPr="00B9112D">
        <w:rPr>
          <w:b/>
          <w:bCs/>
          <w:sz w:val="24"/>
          <w:szCs w:val="24"/>
        </w:rPr>
        <w:t xml:space="preserve"> </w:t>
      </w:r>
      <w:r w:rsidR="00B4701B">
        <w:rPr>
          <w:b/>
          <w:bCs/>
          <w:sz w:val="24"/>
          <w:szCs w:val="24"/>
        </w:rPr>
        <w:t>Entering VGS – (97, VGS) Career Guidance Service</w:t>
      </w:r>
      <w:r w:rsidRPr="00B9112D">
        <w:rPr>
          <w:b/>
          <w:bCs/>
          <w:sz w:val="24"/>
          <w:szCs w:val="24"/>
        </w:rPr>
        <w:t xml:space="preserve"> in WIT</w:t>
      </w:r>
    </w:p>
    <w:p w14:paraId="20121C8D" w14:textId="04EF1DEE" w:rsidR="007E5299" w:rsidRDefault="007E5299" w:rsidP="008D1D5E">
      <w:pPr>
        <w:pStyle w:val="ListParagraph"/>
        <w:spacing w:after="0" w:line="240" w:lineRule="auto"/>
        <w:ind w:left="270"/>
        <w:rPr>
          <w:sz w:val="24"/>
          <w:szCs w:val="24"/>
        </w:rPr>
      </w:pPr>
    </w:p>
    <w:p w14:paraId="645BDE78" w14:textId="4ABF9164" w:rsidR="0086272A" w:rsidRDefault="0086272A" w:rsidP="008D1D5E">
      <w:pPr>
        <w:pStyle w:val="ListParagraph"/>
        <w:spacing w:after="0" w:line="240" w:lineRule="auto"/>
        <w:ind w:left="270"/>
        <w:rPr>
          <w:sz w:val="24"/>
          <w:szCs w:val="24"/>
        </w:rPr>
      </w:pPr>
      <w:r>
        <w:rPr>
          <w:noProof/>
          <w:sz w:val="24"/>
          <w:szCs w:val="24"/>
        </w:rPr>
        <w:drawing>
          <wp:inline distT="0" distB="0" distL="0" distR="0" wp14:anchorId="11F1222C" wp14:editId="0224FD9A">
            <wp:extent cx="4514850"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14850" cy="3067050"/>
                    </a:xfrm>
                    <a:prstGeom prst="rect">
                      <a:avLst/>
                    </a:prstGeom>
                    <a:noFill/>
                    <a:ln>
                      <a:noFill/>
                    </a:ln>
                  </pic:spPr>
                </pic:pic>
              </a:graphicData>
            </a:graphic>
          </wp:inline>
        </w:drawing>
      </w:r>
    </w:p>
    <w:p w14:paraId="32397FF2" w14:textId="62EE3FDA" w:rsidR="0086272A" w:rsidRDefault="0086272A" w:rsidP="008D1D5E">
      <w:pPr>
        <w:pStyle w:val="ListParagraph"/>
        <w:spacing w:after="0" w:line="240" w:lineRule="auto"/>
        <w:ind w:left="270"/>
        <w:rPr>
          <w:sz w:val="24"/>
          <w:szCs w:val="24"/>
        </w:rPr>
      </w:pPr>
    </w:p>
    <w:p w14:paraId="69147F56" w14:textId="04E4249F" w:rsidR="0086272A" w:rsidRDefault="0086272A" w:rsidP="008D1D5E">
      <w:pPr>
        <w:pStyle w:val="ListParagraph"/>
        <w:spacing w:after="0" w:line="240" w:lineRule="auto"/>
        <w:ind w:left="270"/>
        <w:rPr>
          <w:sz w:val="24"/>
          <w:szCs w:val="24"/>
        </w:rPr>
      </w:pPr>
      <w:r>
        <w:rPr>
          <w:noProof/>
          <w:sz w:val="24"/>
          <w:szCs w:val="24"/>
        </w:rPr>
        <w:drawing>
          <wp:inline distT="0" distB="0" distL="0" distR="0" wp14:anchorId="76233841" wp14:editId="612BAEC9">
            <wp:extent cx="5943600" cy="23774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2377440"/>
                    </a:xfrm>
                    <a:prstGeom prst="rect">
                      <a:avLst/>
                    </a:prstGeom>
                    <a:noFill/>
                    <a:ln>
                      <a:noFill/>
                    </a:ln>
                  </pic:spPr>
                </pic:pic>
              </a:graphicData>
            </a:graphic>
          </wp:inline>
        </w:drawing>
      </w:r>
    </w:p>
    <w:p w14:paraId="3F5DA68D" w14:textId="06CB514F" w:rsidR="009C64D8" w:rsidRDefault="009C64D8" w:rsidP="008D1D5E">
      <w:pPr>
        <w:pStyle w:val="ListParagraph"/>
        <w:spacing w:after="0" w:line="240" w:lineRule="auto"/>
        <w:ind w:left="270"/>
        <w:rPr>
          <w:sz w:val="24"/>
          <w:szCs w:val="24"/>
        </w:rPr>
      </w:pPr>
    </w:p>
    <w:p w14:paraId="40FAEE42" w14:textId="1211F80F" w:rsidR="009C64D8" w:rsidRDefault="009C64D8" w:rsidP="008D1D5E">
      <w:pPr>
        <w:pStyle w:val="ListParagraph"/>
        <w:spacing w:after="0" w:line="240" w:lineRule="auto"/>
        <w:ind w:left="270"/>
        <w:rPr>
          <w:sz w:val="24"/>
          <w:szCs w:val="24"/>
        </w:rPr>
      </w:pPr>
      <w:r>
        <w:rPr>
          <w:noProof/>
          <w:sz w:val="24"/>
          <w:szCs w:val="24"/>
        </w:rPr>
        <w:drawing>
          <wp:inline distT="0" distB="0" distL="0" distR="0" wp14:anchorId="05A35587" wp14:editId="259D24EB">
            <wp:extent cx="5939155" cy="1271905"/>
            <wp:effectExtent l="0" t="0" r="4445"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9155" cy="1271905"/>
                    </a:xfrm>
                    <a:prstGeom prst="rect">
                      <a:avLst/>
                    </a:prstGeom>
                    <a:noFill/>
                    <a:ln>
                      <a:noFill/>
                    </a:ln>
                  </pic:spPr>
                </pic:pic>
              </a:graphicData>
            </a:graphic>
          </wp:inline>
        </w:drawing>
      </w:r>
    </w:p>
    <w:p w14:paraId="56660155" w14:textId="224E0853" w:rsidR="00DD2CC1" w:rsidRDefault="00DD2CC1" w:rsidP="008D1D5E">
      <w:pPr>
        <w:pStyle w:val="ListParagraph"/>
        <w:spacing w:after="0" w:line="240" w:lineRule="auto"/>
        <w:ind w:left="270"/>
        <w:rPr>
          <w:sz w:val="24"/>
          <w:szCs w:val="24"/>
        </w:rPr>
      </w:pPr>
    </w:p>
    <w:p w14:paraId="26A227F4" w14:textId="5890A991" w:rsidR="00DD2CC1" w:rsidRDefault="00DD2CC1" w:rsidP="008D1D5E">
      <w:pPr>
        <w:pStyle w:val="ListParagraph"/>
        <w:spacing w:after="0" w:line="240" w:lineRule="auto"/>
        <w:ind w:left="270"/>
        <w:rPr>
          <w:sz w:val="24"/>
          <w:szCs w:val="24"/>
        </w:rPr>
      </w:pPr>
      <w:r>
        <w:rPr>
          <w:noProof/>
          <w:sz w:val="24"/>
          <w:szCs w:val="24"/>
        </w:rPr>
        <w:lastRenderedPageBreak/>
        <w:drawing>
          <wp:inline distT="0" distB="0" distL="0" distR="0" wp14:anchorId="5A89BA49" wp14:editId="3C3DA525">
            <wp:extent cx="5934075" cy="25812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2581275"/>
                    </a:xfrm>
                    <a:prstGeom prst="rect">
                      <a:avLst/>
                    </a:prstGeom>
                    <a:noFill/>
                    <a:ln>
                      <a:noFill/>
                    </a:ln>
                  </pic:spPr>
                </pic:pic>
              </a:graphicData>
            </a:graphic>
          </wp:inline>
        </w:drawing>
      </w:r>
    </w:p>
    <w:p w14:paraId="40C61756" w14:textId="0A7A1B28" w:rsidR="00207B6F" w:rsidRDefault="00207B6F" w:rsidP="008D1D5E">
      <w:pPr>
        <w:pStyle w:val="ListParagraph"/>
        <w:spacing w:after="0" w:line="240" w:lineRule="auto"/>
        <w:ind w:left="270"/>
        <w:rPr>
          <w:sz w:val="24"/>
          <w:szCs w:val="24"/>
        </w:rPr>
      </w:pPr>
    </w:p>
    <w:p w14:paraId="09708A01" w14:textId="4D62178F" w:rsidR="00207B6F" w:rsidRPr="006C2C26" w:rsidRDefault="00207B6F" w:rsidP="008D1D5E">
      <w:pPr>
        <w:pStyle w:val="ListParagraph"/>
        <w:spacing w:after="0" w:line="240" w:lineRule="auto"/>
        <w:ind w:left="270"/>
        <w:rPr>
          <w:sz w:val="24"/>
          <w:szCs w:val="24"/>
        </w:rPr>
      </w:pPr>
      <w:r>
        <w:rPr>
          <w:noProof/>
          <w:sz w:val="24"/>
          <w:szCs w:val="24"/>
        </w:rPr>
        <w:drawing>
          <wp:inline distT="0" distB="0" distL="0" distR="0" wp14:anchorId="35809CB7" wp14:editId="7F893278">
            <wp:extent cx="5939155" cy="3057525"/>
            <wp:effectExtent l="0" t="0" r="444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155" cy="3057525"/>
                    </a:xfrm>
                    <a:prstGeom prst="rect">
                      <a:avLst/>
                    </a:prstGeom>
                    <a:noFill/>
                    <a:ln>
                      <a:noFill/>
                    </a:ln>
                  </pic:spPr>
                </pic:pic>
              </a:graphicData>
            </a:graphic>
          </wp:inline>
        </w:drawing>
      </w:r>
    </w:p>
    <w:sectPr w:rsidR="00207B6F" w:rsidRPr="006C2C26">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FC61F8" w14:textId="77777777" w:rsidR="000C0389" w:rsidRDefault="000C0389" w:rsidP="00FA1D52">
      <w:pPr>
        <w:spacing w:after="0" w:line="240" w:lineRule="auto"/>
      </w:pPr>
      <w:r>
        <w:separator/>
      </w:r>
    </w:p>
  </w:endnote>
  <w:endnote w:type="continuationSeparator" w:id="0">
    <w:p w14:paraId="7B6AA44E" w14:textId="77777777" w:rsidR="000C0389" w:rsidRDefault="000C0389" w:rsidP="00FA1D52">
      <w:pPr>
        <w:spacing w:after="0" w:line="240" w:lineRule="auto"/>
      </w:pPr>
      <w:r>
        <w:continuationSeparator/>
      </w:r>
    </w:p>
  </w:endnote>
  <w:endnote w:type="continuationNotice" w:id="1">
    <w:p w14:paraId="181CD582" w14:textId="77777777" w:rsidR="000C0389" w:rsidRDefault="000C0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32078" w14:textId="1ABBEF5A" w:rsidR="00FA1D52" w:rsidRDefault="00FA1D52">
    <w:pPr>
      <w:pStyle w:val="Footer"/>
    </w:pPr>
    <w:r>
      <w:t>Revis</w:t>
    </w:r>
    <w:r w:rsidR="003A39BE">
      <w:t>ed</w:t>
    </w:r>
    <w:r>
      <w:t xml:space="preserve"> </w:t>
    </w:r>
    <w:r w:rsidR="003A39BE">
      <w:t xml:space="preserve">October </w:t>
    </w:r>
    <w:r w:rsidR="00D13CA2">
      <w:t>2</w:t>
    </w:r>
    <w:r w:rsidR="00EA5035">
      <w:t>7</w:t>
    </w:r>
    <w:r w:rsidR="00B773A1">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33C3B" w14:textId="77777777" w:rsidR="000C0389" w:rsidRDefault="000C0389" w:rsidP="00FA1D52">
      <w:pPr>
        <w:spacing w:after="0" w:line="240" w:lineRule="auto"/>
      </w:pPr>
      <w:r>
        <w:separator/>
      </w:r>
    </w:p>
  </w:footnote>
  <w:footnote w:type="continuationSeparator" w:id="0">
    <w:p w14:paraId="50EA20D2" w14:textId="77777777" w:rsidR="000C0389" w:rsidRDefault="000C0389" w:rsidP="00FA1D52">
      <w:pPr>
        <w:spacing w:after="0" w:line="240" w:lineRule="auto"/>
      </w:pPr>
      <w:r>
        <w:continuationSeparator/>
      </w:r>
    </w:p>
  </w:footnote>
  <w:footnote w:type="continuationNotice" w:id="1">
    <w:p w14:paraId="538AC277" w14:textId="77777777" w:rsidR="000C0389" w:rsidRDefault="000C03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E4DBE"/>
    <w:multiLevelType w:val="hybridMultilevel"/>
    <w:tmpl w:val="6ECCE3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60267"/>
    <w:multiLevelType w:val="hybridMultilevel"/>
    <w:tmpl w:val="C2C81284"/>
    <w:lvl w:ilvl="0" w:tplc="04090001">
      <w:start w:val="1"/>
      <w:numFmt w:val="bullet"/>
      <w:lvlText w:val=""/>
      <w:lvlJc w:val="left"/>
      <w:pPr>
        <w:ind w:left="1498" w:hanging="360"/>
      </w:pPr>
      <w:rPr>
        <w:rFonts w:ascii="Symbol" w:hAnsi="Symbol" w:hint="default"/>
      </w:rPr>
    </w:lvl>
    <w:lvl w:ilvl="1" w:tplc="04090001">
      <w:start w:val="1"/>
      <w:numFmt w:val="bullet"/>
      <w:lvlText w:val=""/>
      <w:lvlJc w:val="left"/>
      <w:pPr>
        <w:ind w:left="2218" w:hanging="360"/>
      </w:pPr>
      <w:rPr>
        <w:rFonts w:ascii="Symbol" w:hAnsi="Symbol" w:hint="default"/>
      </w:rPr>
    </w:lvl>
    <w:lvl w:ilvl="2" w:tplc="04090005">
      <w:start w:val="1"/>
      <w:numFmt w:val="bullet"/>
      <w:lvlText w:val=""/>
      <w:lvlJc w:val="left"/>
      <w:pPr>
        <w:ind w:left="2938" w:hanging="360"/>
      </w:pPr>
      <w:rPr>
        <w:rFonts w:ascii="Wingdings" w:hAnsi="Wingdings" w:hint="default"/>
      </w:rPr>
    </w:lvl>
    <w:lvl w:ilvl="3" w:tplc="0409000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2" w15:restartNumberingAfterBreak="0">
    <w:nsid w:val="208244A8"/>
    <w:multiLevelType w:val="hybridMultilevel"/>
    <w:tmpl w:val="49107974"/>
    <w:lvl w:ilvl="0" w:tplc="FFFFFFFF">
      <w:start w:val="1"/>
      <w:numFmt w:val="bullet"/>
      <w:lvlText w:val=""/>
      <w:lvlJc w:val="left"/>
      <w:pPr>
        <w:ind w:left="1498" w:hanging="360"/>
      </w:pPr>
      <w:rPr>
        <w:rFonts w:ascii="Symbol" w:hAnsi="Symbol" w:hint="default"/>
      </w:rPr>
    </w:lvl>
    <w:lvl w:ilvl="1" w:tplc="FFFFFFFF">
      <w:start w:val="1"/>
      <w:numFmt w:val="bullet"/>
      <w:lvlText w:val=""/>
      <w:lvlJc w:val="left"/>
      <w:pPr>
        <w:ind w:left="2218" w:hanging="360"/>
      </w:pPr>
      <w:rPr>
        <w:rFonts w:ascii="Wingdings" w:hAnsi="Wingdings" w:hint="default"/>
      </w:rPr>
    </w:lvl>
    <w:lvl w:ilvl="2" w:tplc="0409000B">
      <w:start w:val="1"/>
      <w:numFmt w:val="bullet"/>
      <w:lvlText w:val=""/>
      <w:lvlJc w:val="left"/>
      <w:pPr>
        <w:ind w:left="2938" w:hanging="360"/>
      </w:pPr>
      <w:rPr>
        <w:rFonts w:ascii="Wingdings" w:hAnsi="Wingdings" w:hint="default"/>
      </w:rPr>
    </w:lvl>
    <w:lvl w:ilvl="3" w:tplc="FFFFFFFF">
      <w:start w:val="1"/>
      <w:numFmt w:val="bullet"/>
      <w:lvlText w:val=""/>
      <w:lvlJc w:val="left"/>
      <w:pPr>
        <w:ind w:left="3658" w:hanging="360"/>
      </w:pPr>
      <w:rPr>
        <w:rFonts w:ascii="Symbol" w:hAnsi="Symbol" w:hint="default"/>
      </w:rPr>
    </w:lvl>
    <w:lvl w:ilvl="4" w:tplc="FFFFFFFF" w:tentative="1">
      <w:start w:val="1"/>
      <w:numFmt w:val="bullet"/>
      <w:lvlText w:val="o"/>
      <w:lvlJc w:val="left"/>
      <w:pPr>
        <w:ind w:left="4378" w:hanging="360"/>
      </w:pPr>
      <w:rPr>
        <w:rFonts w:ascii="Courier New" w:hAnsi="Courier New" w:cs="Courier New" w:hint="default"/>
      </w:rPr>
    </w:lvl>
    <w:lvl w:ilvl="5" w:tplc="FFFFFFFF" w:tentative="1">
      <w:start w:val="1"/>
      <w:numFmt w:val="bullet"/>
      <w:lvlText w:val=""/>
      <w:lvlJc w:val="left"/>
      <w:pPr>
        <w:ind w:left="5098" w:hanging="360"/>
      </w:pPr>
      <w:rPr>
        <w:rFonts w:ascii="Wingdings" w:hAnsi="Wingdings" w:hint="default"/>
      </w:rPr>
    </w:lvl>
    <w:lvl w:ilvl="6" w:tplc="FFFFFFFF" w:tentative="1">
      <w:start w:val="1"/>
      <w:numFmt w:val="bullet"/>
      <w:lvlText w:val=""/>
      <w:lvlJc w:val="left"/>
      <w:pPr>
        <w:ind w:left="5818" w:hanging="360"/>
      </w:pPr>
      <w:rPr>
        <w:rFonts w:ascii="Symbol" w:hAnsi="Symbol" w:hint="default"/>
      </w:rPr>
    </w:lvl>
    <w:lvl w:ilvl="7" w:tplc="FFFFFFFF" w:tentative="1">
      <w:start w:val="1"/>
      <w:numFmt w:val="bullet"/>
      <w:lvlText w:val="o"/>
      <w:lvlJc w:val="left"/>
      <w:pPr>
        <w:ind w:left="6538" w:hanging="360"/>
      </w:pPr>
      <w:rPr>
        <w:rFonts w:ascii="Courier New" w:hAnsi="Courier New" w:cs="Courier New" w:hint="default"/>
      </w:rPr>
    </w:lvl>
    <w:lvl w:ilvl="8" w:tplc="FFFFFFFF" w:tentative="1">
      <w:start w:val="1"/>
      <w:numFmt w:val="bullet"/>
      <w:lvlText w:val=""/>
      <w:lvlJc w:val="left"/>
      <w:pPr>
        <w:ind w:left="7258" w:hanging="360"/>
      </w:pPr>
      <w:rPr>
        <w:rFonts w:ascii="Wingdings" w:hAnsi="Wingdings" w:hint="default"/>
      </w:rPr>
    </w:lvl>
  </w:abstractNum>
  <w:abstractNum w:abstractNumId="3" w15:restartNumberingAfterBreak="0">
    <w:nsid w:val="2A6F11CB"/>
    <w:multiLevelType w:val="hybridMultilevel"/>
    <w:tmpl w:val="6ECCE3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D1F34"/>
    <w:multiLevelType w:val="hybridMultilevel"/>
    <w:tmpl w:val="653C13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651CB4"/>
    <w:multiLevelType w:val="hybridMultilevel"/>
    <w:tmpl w:val="9F32DB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692C82"/>
    <w:multiLevelType w:val="hybridMultilevel"/>
    <w:tmpl w:val="822AF1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EB07639"/>
    <w:multiLevelType w:val="hybridMultilevel"/>
    <w:tmpl w:val="7FD6B5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696CD0"/>
    <w:multiLevelType w:val="hybridMultilevel"/>
    <w:tmpl w:val="E7FC6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E005CB"/>
    <w:multiLevelType w:val="hybridMultilevel"/>
    <w:tmpl w:val="E7FC6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80F3B"/>
    <w:multiLevelType w:val="hybridMultilevel"/>
    <w:tmpl w:val="D966A3E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0223D86"/>
    <w:multiLevelType w:val="hybridMultilevel"/>
    <w:tmpl w:val="2A1608E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4F762E"/>
    <w:multiLevelType w:val="hybridMultilevel"/>
    <w:tmpl w:val="E7FC62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0D607EA"/>
    <w:multiLevelType w:val="hybridMultilevel"/>
    <w:tmpl w:val="8E6650EC"/>
    <w:lvl w:ilvl="0" w:tplc="04090001">
      <w:start w:val="1"/>
      <w:numFmt w:val="bullet"/>
      <w:lvlText w:val=""/>
      <w:lvlJc w:val="left"/>
      <w:rPr>
        <w:rFonts w:ascii="Symbol" w:hAnsi="Symbol" w:hint="default"/>
      </w:rPr>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num w:numId="1">
    <w:abstractNumId w:val="7"/>
  </w:num>
  <w:num w:numId="2">
    <w:abstractNumId w:val="5"/>
  </w:num>
  <w:num w:numId="3">
    <w:abstractNumId w:val="4"/>
  </w:num>
  <w:num w:numId="4">
    <w:abstractNumId w:val="11"/>
  </w:num>
  <w:num w:numId="5">
    <w:abstractNumId w:val="6"/>
  </w:num>
  <w:num w:numId="6">
    <w:abstractNumId w:val="9"/>
  </w:num>
  <w:num w:numId="7">
    <w:abstractNumId w:val="13"/>
  </w:num>
  <w:num w:numId="8">
    <w:abstractNumId w:val="1"/>
  </w:num>
  <w:num w:numId="9">
    <w:abstractNumId w:val="2"/>
  </w:num>
  <w:num w:numId="10">
    <w:abstractNumId w:val="10"/>
  </w:num>
  <w:num w:numId="11">
    <w:abstractNumId w:val="0"/>
  </w:num>
  <w:num w:numId="12">
    <w:abstractNumId w:val="8"/>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F0"/>
    <w:rsid w:val="0001140C"/>
    <w:rsid w:val="00011A25"/>
    <w:rsid w:val="00016D61"/>
    <w:rsid w:val="00021957"/>
    <w:rsid w:val="00021BB8"/>
    <w:rsid w:val="00094080"/>
    <w:rsid w:val="000A54E6"/>
    <w:rsid w:val="000B4E87"/>
    <w:rsid w:val="000C0389"/>
    <w:rsid w:val="000C2443"/>
    <w:rsid w:val="000F7C59"/>
    <w:rsid w:val="00105279"/>
    <w:rsid w:val="00122E8E"/>
    <w:rsid w:val="001344DC"/>
    <w:rsid w:val="001433A2"/>
    <w:rsid w:val="001C05CE"/>
    <w:rsid w:val="001D2260"/>
    <w:rsid w:val="001E6DFF"/>
    <w:rsid w:val="00207B6F"/>
    <w:rsid w:val="00210C6D"/>
    <w:rsid w:val="00222BAB"/>
    <w:rsid w:val="00244EA8"/>
    <w:rsid w:val="00256B40"/>
    <w:rsid w:val="0027613D"/>
    <w:rsid w:val="002C08BF"/>
    <w:rsid w:val="002D6B50"/>
    <w:rsid w:val="002F2334"/>
    <w:rsid w:val="00322B2D"/>
    <w:rsid w:val="0034448F"/>
    <w:rsid w:val="003668FC"/>
    <w:rsid w:val="003741F9"/>
    <w:rsid w:val="0038222F"/>
    <w:rsid w:val="003A39BE"/>
    <w:rsid w:val="003D741A"/>
    <w:rsid w:val="004068F0"/>
    <w:rsid w:val="00437F76"/>
    <w:rsid w:val="00451510"/>
    <w:rsid w:val="00464E3B"/>
    <w:rsid w:val="0047033E"/>
    <w:rsid w:val="00470E73"/>
    <w:rsid w:val="0047396D"/>
    <w:rsid w:val="00482A4F"/>
    <w:rsid w:val="004A2556"/>
    <w:rsid w:val="004B0E34"/>
    <w:rsid w:val="004B6904"/>
    <w:rsid w:val="005313DA"/>
    <w:rsid w:val="00560A60"/>
    <w:rsid w:val="005C6F9D"/>
    <w:rsid w:val="005D3BE0"/>
    <w:rsid w:val="005E7D41"/>
    <w:rsid w:val="006123E5"/>
    <w:rsid w:val="00633689"/>
    <w:rsid w:val="006447FA"/>
    <w:rsid w:val="006465B7"/>
    <w:rsid w:val="00667775"/>
    <w:rsid w:val="00670886"/>
    <w:rsid w:val="00682A09"/>
    <w:rsid w:val="006A1EA3"/>
    <w:rsid w:val="006B5A6B"/>
    <w:rsid w:val="006B601D"/>
    <w:rsid w:val="006C2C26"/>
    <w:rsid w:val="006C3A81"/>
    <w:rsid w:val="007219F1"/>
    <w:rsid w:val="00722C12"/>
    <w:rsid w:val="00752E14"/>
    <w:rsid w:val="007921A0"/>
    <w:rsid w:val="00795195"/>
    <w:rsid w:val="007A5440"/>
    <w:rsid w:val="007E5299"/>
    <w:rsid w:val="008423BC"/>
    <w:rsid w:val="0086272A"/>
    <w:rsid w:val="00875B6A"/>
    <w:rsid w:val="00883389"/>
    <w:rsid w:val="008A7413"/>
    <w:rsid w:val="008B61E9"/>
    <w:rsid w:val="008C6A96"/>
    <w:rsid w:val="008D1D5E"/>
    <w:rsid w:val="008D4CB1"/>
    <w:rsid w:val="00912FE7"/>
    <w:rsid w:val="009218D9"/>
    <w:rsid w:val="0093374C"/>
    <w:rsid w:val="00951A22"/>
    <w:rsid w:val="009574E9"/>
    <w:rsid w:val="00990E8D"/>
    <w:rsid w:val="009C64D8"/>
    <w:rsid w:val="00A017D6"/>
    <w:rsid w:val="00A035A5"/>
    <w:rsid w:val="00A14E2F"/>
    <w:rsid w:val="00A31239"/>
    <w:rsid w:val="00A4043A"/>
    <w:rsid w:val="00A41A04"/>
    <w:rsid w:val="00A657B6"/>
    <w:rsid w:val="00AA3266"/>
    <w:rsid w:val="00AB328E"/>
    <w:rsid w:val="00AB7357"/>
    <w:rsid w:val="00AC2DCE"/>
    <w:rsid w:val="00AC39DA"/>
    <w:rsid w:val="00AF36AE"/>
    <w:rsid w:val="00B27E1B"/>
    <w:rsid w:val="00B4701B"/>
    <w:rsid w:val="00B72939"/>
    <w:rsid w:val="00B773A1"/>
    <w:rsid w:val="00B84093"/>
    <w:rsid w:val="00B9112D"/>
    <w:rsid w:val="00B93D26"/>
    <w:rsid w:val="00B944FF"/>
    <w:rsid w:val="00BA5706"/>
    <w:rsid w:val="00C372F7"/>
    <w:rsid w:val="00C50C6F"/>
    <w:rsid w:val="00C605E7"/>
    <w:rsid w:val="00C7111F"/>
    <w:rsid w:val="00C72ACE"/>
    <w:rsid w:val="00CA1CC2"/>
    <w:rsid w:val="00CA54AD"/>
    <w:rsid w:val="00D07461"/>
    <w:rsid w:val="00D13CA2"/>
    <w:rsid w:val="00D444A2"/>
    <w:rsid w:val="00D45AB8"/>
    <w:rsid w:val="00D475AE"/>
    <w:rsid w:val="00D75D6D"/>
    <w:rsid w:val="00D83AD5"/>
    <w:rsid w:val="00D84D82"/>
    <w:rsid w:val="00D91EDF"/>
    <w:rsid w:val="00DB07C7"/>
    <w:rsid w:val="00DD2CC1"/>
    <w:rsid w:val="00DF14E4"/>
    <w:rsid w:val="00E0159C"/>
    <w:rsid w:val="00E27309"/>
    <w:rsid w:val="00E37C5E"/>
    <w:rsid w:val="00E63243"/>
    <w:rsid w:val="00EA1519"/>
    <w:rsid w:val="00EA5035"/>
    <w:rsid w:val="00EA7326"/>
    <w:rsid w:val="00ED6714"/>
    <w:rsid w:val="00EF14AF"/>
    <w:rsid w:val="00EF61D4"/>
    <w:rsid w:val="00F43C0C"/>
    <w:rsid w:val="00F7711A"/>
    <w:rsid w:val="00F82A49"/>
    <w:rsid w:val="00FA1D52"/>
    <w:rsid w:val="00FD6043"/>
    <w:rsid w:val="00FE691C"/>
    <w:rsid w:val="10DACEC3"/>
    <w:rsid w:val="42D44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03A8"/>
  <w15:chartTrackingRefBased/>
  <w15:docId w15:val="{67BD3715-FB9B-481E-9BF2-2296AE30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68F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aliases w:val="List-Normal"/>
    <w:basedOn w:val="Normal"/>
    <w:uiPriority w:val="34"/>
    <w:qFormat/>
    <w:rsid w:val="004068F0"/>
    <w:pPr>
      <w:ind w:left="720"/>
      <w:contextualSpacing/>
    </w:pPr>
  </w:style>
  <w:style w:type="character" w:customStyle="1" w:styleId="normaltextrun">
    <w:name w:val="normaltextrun"/>
    <w:basedOn w:val="DefaultParagraphFont"/>
    <w:rsid w:val="00A035A5"/>
  </w:style>
  <w:style w:type="paragraph" w:styleId="Header">
    <w:name w:val="header"/>
    <w:basedOn w:val="Normal"/>
    <w:link w:val="HeaderChar"/>
    <w:uiPriority w:val="99"/>
    <w:unhideWhenUsed/>
    <w:rsid w:val="00FA1D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1D52"/>
  </w:style>
  <w:style w:type="paragraph" w:styleId="Footer">
    <w:name w:val="footer"/>
    <w:basedOn w:val="Normal"/>
    <w:link w:val="FooterChar"/>
    <w:uiPriority w:val="99"/>
    <w:unhideWhenUsed/>
    <w:rsid w:val="00FA1D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1D52"/>
  </w:style>
  <w:style w:type="paragraph" w:styleId="BodyTextIndent">
    <w:name w:val="Body Text Indent"/>
    <w:basedOn w:val="Normal"/>
    <w:link w:val="BodyTextIndentChar"/>
    <w:uiPriority w:val="99"/>
    <w:unhideWhenUsed/>
    <w:rsid w:val="008D1D5E"/>
    <w:pPr>
      <w:ind w:left="720"/>
    </w:pPr>
    <w:rPr>
      <w:rFonts w:cstheme="minorHAnsi"/>
    </w:rPr>
  </w:style>
  <w:style w:type="character" w:customStyle="1" w:styleId="BodyTextIndentChar">
    <w:name w:val="Body Text Indent Char"/>
    <w:basedOn w:val="DefaultParagraphFont"/>
    <w:link w:val="BodyTextIndent"/>
    <w:uiPriority w:val="99"/>
    <w:rsid w:val="008D1D5E"/>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7710520">
      <w:bodyDiv w:val="1"/>
      <w:marLeft w:val="0"/>
      <w:marRight w:val="0"/>
      <w:marTop w:val="0"/>
      <w:marBottom w:val="0"/>
      <w:divBdr>
        <w:top w:val="none" w:sz="0" w:space="0" w:color="auto"/>
        <w:left w:val="none" w:sz="0" w:space="0" w:color="auto"/>
        <w:bottom w:val="none" w:sz="0" w:space="0" w:color="auto"/>
        <w:right w:val="none" w:sz="0" w:space="0" w:color="auto"/>
      </w:divBdr>
    </w:div>
    <w:div w:id="151993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A9B4A95C3BBB44B64C46B7CF2F362D" ma:contentTypeVersion="13" ma:contentTypeDescription="Create a new document." ma:contentTypeScope="" ma:versionID="c5081c5fb933e5edf1ecee6273cb2abd">
  <xsd:schema xmlns:xsd="http://www.w3.org/2001/XMLSchema" xmlns:xs="http://www.w3.org/2001/XMLSchema" xmlns:p="http://schemas.microsoft.com/office/2006/metadata/properties" xmlns:ns3="98224a70-1f86-40b9-a6d2-75b94a857212" xmlns:ns4="d5a32c46-bc89-44ff-b65f-061aaee25ab0" targetNamespace="http://schemas.microsoft.com/office/2006/metadata/properties" ma:root="true" ma:fieldsID="3315bee767533ed05c595ec64f93eee2" ns3:_="" ns4:_="">
    <xsd:import namespace="98224a70-1f86-40b9-a6d2-75b94a857212"/>
    <xsd:import namespace="d5a32c46-bc89-44ff-b65f-061aaee25ab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4a70-1f86-40b9-a6d2-75b94a8572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a32c46-bc89-44ff-b65f-061aaee25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A6AB-09B2-44CE-BA17-D2E9A3841308}">
  <ds:schemaRefs>
    <ds:schemaRef ds:uri="http://schemas.microsoft.com/sharepoint/v3/contenttype/forms"/>
  </ds:schemaRefs>
</ds:datastoreItem>
</file>

<file path=customXml/itemProps2.xml><?xml version="1.0" encoding="utf-8"?>
<ds:datastoreItem xmlns:ds="http://schemas.openxmlformats.org/officeDocument/2006/customXml" ds:itemID="{F893DA15-D00B-4733-8CB1-2F840D5F56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537EB4-8DDE-4CFB-A490-4D97C64752FB}">
  <ds:schemaRefs>
    <ds:schemaRef ds:uri="http://schemas.openxmlformats.org/officeDocument/2006/bibliography"/>
  </ds:schemaRefs>
</ds:datastoreItem>
</file>

<file path=customXml/itemProps4.xml><?xml version="1.0" encoding="utf-8"?>
<ds:datastoreItem xmlns:ds="http://schemas.openxmlformats.org/officeDocument/2006/customXml" ds:itemID="{6B2E9DD8-4F59-4E7D-B224-5FABBAB92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4a70-1f86-40b9-a6d2-75b94a857212"/>
    <ds:schemaRef ds:uri="d5a32c46-bc89-44ff-b65f-061aaee25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722</Words>
  <Characters>4119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Nguyen, Dat</cp:lastModifiedBy>
  <cp:revision>2</cp:revision>
  <dcterms:created xsi:type="dcterms:W3CDTF">2022-10-27T20:46:00Z</dcterms:created>
  <dcterms:modified xsi:type="dcterms:W3CDTF">2022-10-27T20:46:00Z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0x01010091A9B4A95C3BBB44B64C46B7CF2F362D</vt:lpwstr>
  </property>
</Properties>
</file>