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22" w:rsidRPr="00EE5D61" w:rsidRDefault="00A96C22" w:rsidP="00A96C22">
      <w:pPr>
        <w:jc w:val="center"/>
        <w:rPr>
          <w:b/>
          <w:sz w:val="32"/>
          <w:szCs w:val="32"/>
        </w:rPr>
      </w:pPr>
      <w:r w:rsidRPr="00EE5D61">
        <w:rPr>
          <w:b/>
          <w:sz w:val="32"/>
          <w:szCs w:val="32"/>
        </w:rPr>
        <w:t>Clear Statement of Workforce Solutions Policy</w:t>
      </w:r>
    </w:p>
    <w:p w:rsidR="00A96C22" w:rsidRPr="00EE5D61" w:rsidRDefault="00A96C22" w:rsidP="00A96C22">
      <w:pPr>
        <w:jc w:val="center"/>
        <w:rPr>
          <w:b/>
          <w:sz w:val="32"/>
          <w:szCs w:val="32"/>
        </w:rPr>
      </w:pPr>
      <w:proofErr w:type="gramStart"/>
      <w:r w:rsidRPr="00EE5D61">
        <w:rPr>
          <w:b/>
          <w:sz w:val="32"/>
          <w:szCs w:val="32"/>
        </w:rPr>
        <w:t>for</w:t>
      </w:r>
      <w:proofErr w:type="gramEnd"/>
      <w:r w:rsidRPr="00EE5D61">
        <w:rPr>
          <w:b/>
          <w:sz w:val="32"/>
          <w:szCs w:val="32"/>
        </w:rPr>
        <w:t xml:space="preserve"> Appeal Hearings</w:t>
      </w:r>
    </w:p>
    <w:p w:rsidR="00A96C22" w:rsidRPr="00EE5D61" w:rsidRDefault="00A96C22" w:rsidP="00A96C22">
      <w:pPr>
        <w:jc w:val="center"/>
        <w:rPr>
          <w:b/>
          <w:sz w:val="32"/>
          <w:szCs w:val="32"/>
        </w:rPr>
      </w:pPr>
    </w:p>
    <w:p w:rsidR="00A96C22" w:rsidRPr="00EE5D61" w:rsidRDefault="00A96C22" w:rsidP="00A96C22">
      <w:pPr>
        <w:jc w:val="center"/>
        <w:rPr>
          <w:b/>
          <w:sz w:val="32"/>
          <w:szCs w:val="32"/>
        </w:rPr>
      </w:pPr>
      <w:r>
        <w:rPr>
          <w:b/>
          <w:sz w:val="32"/>
          <w:szCs w:val="32"/>
        </w:rPr>
        <w:t>TANF</w:t>
      </w:r>
      <w:r w:rsidRPr="00EE5D61">
        <w:rPr>
          <w:b/>
          <w:sz w:val="32"/>
          <w:szCs w:val="32"/>
        </w:rPr>
        <w:t xml:space="preserve"> Recipient</w:t>
      </w:r>
    </w:p>
    <w:p w:rsidR="00A96C22" w:rsidRPr="00EE5D61" w:rsidRDefault="00A96C22" w:rsidP="00A96C22">
      <w:pPr>
        <w:jc w:val="center"/>
        <w:rPr>
          <w:b/>
          <w:sz w:val="32"/>
          <w:szCs w:val="32"/>
        </w:rPr>
      </w:pPr>
      <w:r w:rsidRPr="00EE5D61">
        <w:rPr>
          <w:b/>
          <w:sz w:val="32"/>
          <w:szCs w:val="32"/>
        </w:rPr>
        <w:t>Failure to Respond to Recruitment/Outreach Letter</w:t>
      </w:r>
    </w:p>
    <w:p w:rsidR="00A96C22" w:rsidRDefault="00A96C22" w:rsidP="00A96C22"/>
    <w:p w:rsidR="00AA257E" w:rsidRDefault="00AA257E"/>
    <w:p w:rsidR="00DE7F60" w:rsidRDefault="00DE7F60">
      <w:r>
        <w:t xml:space="preserve">The </w:t>
      </w:r>
      <w:r w:rsidR="00776940">
        <w:t xml:space="preserve">purpose of this document is to provide hearing officers with a clear statement of </w:t>
      </w:r>
      <w:r w:rsidR="00A96C22">
        <w:t>Workforce Solutions</w:t>
      </w:r>
      <w:r w:rsidR="00776940">
        <w:t xml:space="preserve"> policy for use in appeals hearings.</w:t>
      </w:r>
    </w:p>
    <w:p w:rsidR="00DE7F60" w:rsidRDefault="00DE7F60"/>
    <w:p w:rsidR="00EB25D5" w:rsidRDefault="00EB25D5" w:rsidP="000946FF"/>
    <w:p w:rsidR="00AA257E" w:rsidRPr="003F5D59" w:rsidRDefault="00AA257E" w:rsidP="000946FF">
      <w:pPr>
        <w:rPr>
          <w:rFonts w:ascii="Times New Roman Bold" w:hAnsi="Times New Roman Bold"/>
          <w:b/>
          <w:sz w:val="28"/>
          <w:szCs w:val="28"/>
        </w:rPr>
      </w:pPr>
      <w:r w:rsidRPr="003F5D59">
        <w:rPr>
          <w:rFonts w:ascii="Times New Roman Bold" w:hAnsi="Times New Roman Bold"/>
          <w:b/>
          <w:sz w:val="28"/>
          <w:szCs w:val="28"/>
        </w:rPr>
        <w:t>Failure to Respond to Recruitment/Outreach Letter</w:t>
      </w:r>
    </w:p>
    <w:p w:rsidR="00AA257E" w:rsidRPr="00370D1A" w:rsidRDefault="00A96C22" w:rsidP="00A96C22">
      <w:r>
        <w:t>Workforce Solutions</w:t>
      </w:r>
      <w:r w:rsidR="008C6D85">
        <w:t xml:space="preserve"> will</w:t>
      </w:r>
      <w:r w:rsidR="008E1106">
        <w:t xml:space="preserve"> initiate a penalty for</w:t>
      </w:r>
      <w:r w:rsidR="008C6D85">
        <w:t xml:space="preserve"> a TANF </w:t>
      </w:r>
      <w:r w:rsidR="008E1106">
        <w:t>recipient</w:t>
      </w:r>
      <w:r w:rsidR="008C6D85">
        <w:t xml:space="preserve"> who does not respond within our required timeframe to our outreach/recruitment letter.</w:t>
      </w:r>
    </w:p>
    <w:p w:rsidR="00AA257E" w:rsidRPr="00370D1A" w:rsidRDefault="00AA257E" w:rsidP="00AA257E">
      <w:pPr>
        <w:ind w:firstLine="288"/>
      </w:pPr>
    </w:p>
    <w:p w:rsidR="00A96C22" w:rsidRDefault="00A96C22" w:rsidP="00A96C22">
      <w:pPr>
        <w:numPr>
          <w:ilvl w:val="0"/>
          <w:numId w:val="4"/>
        </w:numPr>
      </w:pPr>
      <w:r>
        <w:rPr>
          <w:b/>
        </w:rPr>
        <w:t>We will demonstrate:</w:t>
      </w:r>
    </w:p>
    <w:p w:rsidR="00A96C22" w:rsidRDefault="00A96C22" w:rsidP="00A96C22">
      <w:pPr>
        <w:numPr>
          <w:ilvl w:val="0"/>
          <w:numId w:val="8"/>
        </w:numPr>
      </w:pPr>
      <w:r>
        <w:t>It is the policy of Workforce Solutions to mail outreach/recruitment letters to SNAP recipients who are required to cooperate with Workforce Solutions to find a job.</w:t>
      </w:r>
    </w:p>
    <w:p w:rsidR="00A96C22" w:rsidRDefault="00A96C22" w:rsidP="00A96C22">
      <w:pPr>
        <w:numPr>
          <w:ilvl w:val="0"/>
          <w:numId w:val="8"/>
        </w:numPr>
      </w:pPr>
      <w:r>
        <w:t>Workforce Solutions mailed a recruitment letter to the customer on a specific date.</w:t>
      </w:r>
    </w:p>
    <w:p w:rsidR="00A96C22" w:rsidRDefault="00A96C22" w:rsidP="00A96C22">
      <w:pPr>
        <w:numPr>
          <w:ilvl w:val="0"/>
          <w:numId w:val="8"/>
        </w:numPr>
      </w:pPr>
      <w:r>
        <w:t>Workforce Solutions mailed the recruitment letter to the customer’s current mail address, which is the same mail address used by HHSC.</w:t>
      </w:r>
    </w:p>
    <w:p w:rsidR="00A96C22" w:rsidRDefault="00A96C22" w:rsidP="00A96C22">
      <w:pPr>
        <w:numPr>
          <w:ilvl w:val="0"/>
          <w:numId w:val="8"/>
        </w:numPr>
      </w:pPr>
      <w:r>
        <w:t xml:space="preserve">In the letter we informed the customer he or she must respond to Workforce Solutions by a certain date or we would notify HHSC of his or her non-cooperation and HHSC will stop benefits.  </w:t>
      </w:r>
    </w:p>
    <w:p w:rsidR="00A96C22" w:rsidRDefault="00A96C22" w:rsidP="00A96C22">
      <w:pPr>
        <w:numPr>
          <w:ilvl w:val="0"/>
          <w:numId w:val="8"/>
        </w:numPr>
      </w:pPr>
      <w:r>
        <w:t>Workforce Solutions initiated a penalty for one of the reasons listed below:</w:t>
      </w:r>
    </w:p>
    <w:p w:rsidR="00A96C22" w:rsidRDefault="00A96C22" w:rsidP="00A96C22">
      <w:pPr>
        <w:numPr>
          <w:ilvl w:val="1"/>
          <w:numId w:val="8"/>
        </w:numPr>
      </w:pPr>
      <w:r>
        <w:t>The customer failed to respond to the recruitment letter by the date required, or</w:t>
      </w:r>
    </w:p>
    <w:p w:rsidR="00A96C22" w:rsidRPr="008B3289" w:rsidRDefault="00A96C22" w:rsidP="00A96C22">
      <w:pPr>
        <w:numPr>
          <w:ilvl w:val="1"/>
          <w:numId w:val="8"/>
        </w:numPr>
      </w:pPr>
      <w:proofErr w:type="gramStart"/>
      <w:r>
        <w:t>t</w:t>
      </w:r>
      <w:r w:rsidRPr="008B3289">
        <w:t>he</w:t>
      </w:r>
      <w:proofErr w:type="gramEnd"/>
      <w:r w:rsidRPr="008B3289">
        <w:t xml:space="preserve"> customer responded, but</w:t>
      </w:r>
      <w:r>
        <w:t xml:space="preserve"> chose not to </w:t>
      </w:r>
      <w:r w:rsidRPr="008B3289">
        <w:t>cooperate and didn</w:t>
      </w:r>
      <w:r>
        <w:t>’</w:t>
      </w:r>
      <w:r w:rsidRPr="008B3289">
        <w:t xml:space="preserve">t offer a good cause for not </w:t>
      </w:r>
      <w:r>
        <w:t xml:space="preserve">cooperating. </w:t>
      </w:r>
    </w:p>
    <w:p w:rsidR="00A96C22" w:rsidRDefault="00A96C22" w:rsidP="00A96C22">
      <w:pPr>
        <w:ind w:firstLine="288"/>
      </w:pPr>
    </w:p>
    <w:p w:rsidR="00887DBE" w:rsidRDefault="00887DBE" w:rsidP="00887DBE">
      <w:pPr>
        <w:numPr>
          <w:ilvl w:val="0"/>
          <w:numId w:val="5"/>
        </w:numPr>
      </w:pPr>
      <w:r>
        <w:rPr>
          <w:b/>
        </w:rPr>
        <w:t>We will present the following evidence:</w:t>
      </w:r>
    </w:p>
    <w:p w:rsidR="00887DBE" w:rsidRDefault="00887DBE" w:rsidP="00887DBE">
      <w:pPr>
        <w:numPr>
          <w:ilvl w:val="0"/>
          <w:numId w:val="10"/>
        </w:numPr>
      </w:pPr>
      <w:r>
        <w:rPr>
          <w:b/>
        </w:rPr>
        <w:t>T</w:t>
      </w:r>
      <w:r w:rsidRPr="00F37507">
        <w:rPr>
          <w:b/>
        </w:rPr>
        <w:t>he recruitment letter</w:t>
      </w:r>
      <w:r>
        <w:rPr>
          <w:b/>
        </w:rPr>
        <w:t xml:space="preserve"> mailed to the customer</w:t>
      </w:r>
      <w:r w:rsidRPr="00F37507">
        <w:rPr>
          <w:b/>
        </w:rPr>
        <w:t>.</w:t>
      </w:r>
      <w:r>
        <w:t xml:space="preserve">  The recruitment letter mailed by Workforce Solutions to the appellant customer.  The letter is dated and informs the customer of cooperation requirements, the consequences for noncooperation and who to contact if working or unable to cooperate.  </w:t>
      </w:r>
    </w:p>
    <w:p w:rsidR="00887DBE" w:rsidRDefault="00887DBE" w:rsidP="00887DBE">
      <w:pPr>
        <w:pStyle w:val="ListParagraph"/>
      </w:pPr>
    </w:p>
    <w:p w:rsidR="00887DBE" w:rsidRDefault="00887DBE" w:rsidP="00887DBE">
      <w:pPr>
        <w:numPr>
          <w:ilvl w:val="0"/>
          <w:numId w:val="10"/>
        </w:numPr>
      </w:pPr>
      <w:r w:rsidRPr="00F37507">
        <w:rPr>
          <w:b/>
        </w:rPr>
        <w:t>TWIST Counseling Record.</w:t>
      </w:r>
      <w:r w:rsidRPr="00CE0969">
        <w:t xml:space="preserve">  The counseling note is a system entr</w:t>
      </w:r>
      <w:r>
        <w:t xml:space="preserve">y, automatically created by our MIS </w:t>
      </w:r>
      <w:r w:rsidRPr="00CE0969">
        <w:t>system</w:t>
      </w:r>
      <w:r>
        <w:t xml:space="preserve">.  The note documents the mailing address </w:t>
      </w:r>
      <w:r w:rsidRPr="00CE0969">
        <w:t xml:space="preserve">and </w:t>
      </w:r>
      <w:r>
        <w:t>the mail date</w:t>
      </w:r>
      <w:r w:rsidRPr="00CE0969">
        <w:t xml:space="preserve">. The </w:t>
      </w:r>
      <w:r>
        <w:t xml:space="preserve">mailing </w:t>
      </w:r>
      <w:r w:rsidRPr="00CE0969">
        <w:t xml:space="preserve">address is the same address </w:t>
      </w:r>
      <w:r>
        <w:t>listed for the customer in HHSC’s database.</w:t>
      </w:r>
    </w:p>
    <w:p w:rsidR="00887DBE" w:rsidRDefault="00887DBE" w:rsidP="00887DBE">
      <w:pPr>
        <w:ind w:left="648"/>
      </w:pPr>
    </w:p>
    <w:p w:rsidR="00887DBE" w:rsidRDefault="00887DBE" w:rsidP="00887DBE">
      <w:pPr>
        <w:numPr>
          <w:ilvl w:val="0"/>
          <w:numId w:val="10"/>
        </w:numPr>
      </w:pPr>
      <w:r w:rsidRPr="00C4134D">
        <w:rPr>
          <w:b/>
        </w:rPr>
        <w:t>Workforce Solutions Policy Regarding Recruitment.</w:t>
      </w:r>
    </w:p>
    <w:p w:rsidR="00634393" w:rsidRDefault="00634393" w:rsidP="00806D4F"/>
    <w:p w:rsidR="00A96C22" w:rsidRPr="00C86B52" w:rsidRDefault="00EB25D5" w:rsidP="00A96C22">
      <w:pPr>
        <w:jc w:val="center"/>
        <w:rPr>
          <w:rFonts w:ascii="Times New Roman Bold" w:hAnsi="Times New Roman Bold"/>
          <w:b/>
          <w:sz w:val="28"/>
          <w:szCs w:val="28"/>
        </w:rPr>
      </w:pPr>
      <w:r>
        <w:br w:type="page"/>
      </w:r>
      <w:r w:rsidR="00A96C22" w:rsidRPr="00C86B52">
        <w:rPr>
          <w:rFonts w:ascii="Times New Roman Bold" w:hAnsi="Times New Roman Bold"/>
          <w:b/>
          <w:sz w:val="28"/>
          <w:szCs w:val="28"/>
        </w:rPr>
        <w:lastRenderedPageBreak/>
        <w:t>Policy Regarding Recruitment</w:t>
      </w:r>
    </w:p>
    <w:p w:rsidR="00A96C22" w:rsidRPr="00A52906" w:rsidRDefault="00A96C22" w:rsidP="00A96C22">
      <w:pPr>
        <w:autoSpaceDE w:val="0"/>
        <w:autoSpaceDN w:val="0"/>
        <w:adjustRightInd w:val="0"/>
        <w:jc w:val="center"/>
        <w:rPr>
          <w:rFonts w:ascii="Times New Roman Bold" w:hAnsi="Times New Roman Bold"/>
          <w:b/>
          <w:smallCaps/>
          <w:sz w:val="28"/>
          <w:szCs w:val="28"/>
        </w:rPr>
      </w:pPr>
    </w:p>
    <w:p w:rsidR="00A52906" w:rsidRPr="00370D1A" w:rsidRDefault="00A52906" w:rsidP="00F66A26">
      <w:pPr>
        <w:autoSpaceDE w:val="0"/>
        <w:autoSpaceDN w:val="0"/>
        <w:adjustRightInd w:val="0"/>
        <w:ind w:left="864" w:hanging="864"/>
        <w:rPr>
          <w:rFonts w:ascii="Times New Roman Bold" w:hAnsi="Times New Roman Bold"/>
          <w:b/>
        </w:rPr>
      </w:pPr>
      <w:r w:rsidRPr="00370D1A">
        <w:rPr>
          <w:rFonts w:ascii="Times New Roman Bold" w:hAnsi="Times New Roman Bold"/>
          <w:b/>
        </w:rPr>
        <w:t xml:space="preserve">Source: Texas </w:t>
      </w:r>
      <w:smartTag w:uri="urn:schemas-microsoft-com:office:smarttags" w:element="PersonName">
        <w:r w:rsidRPr="00370D1A">
          <w:rPr>
            <w:rFonts w:ascii="Times New Roman Bold" w:hAnsi="Times New Roman Bold"/>
            <w:b/>
          </w:rPr>
          <w:t>Workforce</w:t>
        </w:r>
      </w:smartTag>
      <w:r w:rsidRPr="00370D1A">
        <w:rPr>
          <w:rFonts w:ascii="Times New Roman Bold" w:hAnsi="Times New Roman Bold"/>
          <w:b/>
        </w:rPr>
        <w:t xml:space="preserve"> Commission Choices Rules:  40 TAC </w:t>
      </w:r>
      <w:proofErr w:type="gramStart"/>
      <w:r w:rsidRPr="00370D1A">
        <w:rPr>
          <w:rFonts w:ascii="Times New Roman Bold" w:hAnsi="Times New Roman Bold"/>
          <w:b/>
        </w:rPr>
        <w:t>Chapter</w:t>
      </w:r>
      <w:proofErr w:type="gramEnd"/>
      <w:r w:rsidRPr="00370D1A">
        <w:rPr>
          <w:rFonts w:ascii="Times New Roman Bold" w:hAnsi="Times New Roman Bold"/>
          <w:b/>
        </w:rPr>
        <w:t xml:space="preserve"> 811,</w:t>
      </w:r>
      <w:r w:rsidR="00F66A26" w:rsidRPr="00370D1A">
        <w:rPr>
          <w:rFonts w:ascii="Times New Roman Bold" w:hAnsi="Times New Roman Bold"/>
          <w:b/>
        </w:rPr>
        <w:t xml:space="preserve"> </w:t>
      </w:r>
      <w:r w:rsidRPr="00370D1A">
        <w:rPr>
          <w:rFonts w:ascii="Times New Roman Bold" w:hAnsi="Times New Roman Bold"/>
          <w:b/>
        </w:rPr>
        <w:t>Section 811.13.</w:t>
      </w:r>
    </w:p>
    <w:p w:rsidR="003F5D59" w:rsidRDefault="00887DBE" w:rsidP="00EB59B4">
      <w:pPr>
        <w:autoSpaceDE w:val="0"/>
        <w:autoSpaceDN w:val="0"/>
        <w:adjustRightInd w:val="0"/>
        <w:jc w:val="center"/>
        <w:rPr>
          <w:b/>
        </w:rPr>
      </w:pPr>
      <w:r>
        <w:rPr>
          <w:b/>
          <w:noProof/>
        </w:rPr>
        <w:pict>
          <v:shapetype id="_x0000_t202" coordsize="21600,21600" o:spt="202" path="m,l,21600r21600,l21600,xe">
            <v:stroke joinstyle="miter"/>
            <v:path gradientshapeok="t" o:connecttype="rect"/>
          </v:shapetype>
          <v:shape id="_x0000_s1028" type="#_x0000_t202" style="position:absolute;left:0;text-align:left;margin-left:0;margin-top:7.75pt;width:440.5pt;height:573.75pt;z-index:251657216;mso-position-horizontal:center;mso-width-relative:margin;mso-height-relative:margin">
            <v:textbox>
              <w:txbxContent>
                <w:p w:rsidR="00887DBE" w:rsidRDefault="00887DBE" w:rsidP="00887DBE">
                  <w:pPr>
                    <w:pStyle w:val="Section3"/>
                    <w:ind w:left="0" w:firstLine="0"/>
                  </w:pPr>
                  <w:r>
                    <w:t xml:space="preserve">§811.13.  </w:t>
                  </w:r>
                  <w:proofErr w:type="gramStart"/>
                  <w:r>
                    <w:t>Responsibilities of Mandatory Individuals, and Exempt Recipients Who Voluntarily Participate.</w:t>
                  </w:r>
                  <w:proofErr w:type="gramEnd"/>
                  <w:r>
                    <w:t xml:space="preserve">  </w:t>
                  </w:r>
                </w:p>
                <w:p w:rsidR="00887DBE" w:rsidRDefault="00887DBE" w:rsidP="00887DBE">
                  <w:pPr>
                    <w:pStyle w:val="subsection"/>
                  </w:pPr>
                  <w:r>
                    <w:t>(a)</w:t>
                  </w:r>
                  <w:r>
                    <w:tab/>
                    <w:t xml:space="preserve">A Board shall ensure that mandatory individuals, and exempt recipients who voluntarily participate in Choices services, comply with the provisions contained in this section. </w:t>
                  </w:r>
                </w:p>
                <w:p w:rsidR="00887DBE" w:rsidRDefault="00887DBE" w:rsidP="00887DBE">
                  <w:pPr>
                    <w:pStyle w:val="subsection"/>
                  </w:pPr>
                  <w:r>
                    <w:t>(b)</w:t>
                  </w:r>
                  <w:r>
                    <w:tab/>
                    <w:t>Mandatory individuals, and exempt recipients who voluntarily participate in Choices services, shall:</w:t>
                  </w:r>
                </w:p>
                <w:p w:rsidR="00887DBE" w:rsidRDefault="00887DBE" w:rsidP="00887DBE">
                  <w:pPr>
                    <w:pStyle w:val="paragraph"/>
                  </w:pPr>
                  <w:r>
                    <w:t>(1)</w:t>
                  </w:r>
                  <w:r>
                    <w:tab/>
                  </w:r>
                  <w:proofErr w:type="gramStart"/>
                  <w:r>
                    <w:t>accept</w:t>
                  </w:r>
                  <w:proofErr w:type="gramEnd"/>
                  <w:r>
                    <w:t xml:space="preserve"> a job offer at the earliest possible opportunity;</w:t>
                  </w:r>
                </w:p>
                <w:p w:rsidR="00887DBE" w:rsidRDefault="00887DBE" w:rsidP="00887DBE">
                  <w:pPr>
                    <w:pStyle w:val="paragraph"/>
                  </w:pPr>
                  <w:r>
                    <w:t>(2)</w:t>
                  </w:r>
                  <w:r>
                    <w:tab/>
                  </w:r>
                  <w:proofErr w:type="gramStart"/>
                  <w:r>
                    <w:t>participate</w:t>
                  </w:r>
                  <w:proofErr w:type="gramEnd"/>
                  <w:r>
                    <w:t xml:space="preserve"> in or receive ancillary services necessary to enable mandatory individuals to work or participate in employment-related activities, including counseling, treatment, vocational or physical rehabilitation, and medical or health services; </w:t>
                  </w:r>
                </w:p>
                <w:p w:rsidR="00887DBE" w:rsidRDefault="00887DBE" w:rsidP="00887DBE">
                  <w:pPr>
                    <w:pStyle w:val="paragraph"/>
                  </w:pPr>
                  <w:r>
                    <w:t>(3)</w:t>
                  </w:r>
                  <w:r>
                    <w:tab/>
                  </w:r>
                  <w:proofErr w:type="gramStart"/>
                  <w:r>
                    <w:t>report</w:t>
                  </w:r>
                  <w:proofErr w:type="gramEnd"/>
                  <w:r>
                    <w:t xml:space="preserve"> hours of participation in component activities, including hours of employment; and</w:t>
                  </w:r>
                </w:p>
                <w:p w:rsidR="00887DBE" w:rsidRDefault="00887DBE" w:rsidP="00887DBE">
                  <w:pPr>
                    <w:pStyle w:val="paragraph"/>
                  </w:pPr>
                  <w:r>
                    <w:t>(4)</w:t>
                  </w:r>
                  <w:r>
                    <w:tab/>
                  </w:r>
                  <w:proofErr w:type="gramStart"/>
                  <w:r>
                    <w:t>attend</w:t>
                  </w:r>
                  <w:proofErr w:type="gramEnd"/>
                  <w:r>
                    <w:t xml:space="preserve"> scheduled appointments.</w:t>
                  </w:r>
                </w:p>
                <w:p w:rsidR="00887DBE" w:rsidRDefault="00887DBE" w:rsidP="00887DBE">
                  <w:pPr>
                    <w:pStyle w:val="subsection"/>
                  </w:pPr>
                  <w:r>
                    <w:t>(c)</w:t>
                  </w:r>
                  <w:r>
                    <w:tab/>
                    <w:t>Within two-parent families, mandatory individuals, and exempt recipients who voluntarily participate in Choices services, shall participate in assessment and family employment planning appointments and assigned employment and training activities as follows:</w:t>
                  </w:r>
                </w:p>
                <w:p w:rsidR="00887DBE" w:rsidRDefault="00887DBE" w:rsidP="00887DBE">
                  <w:pPr>
                    <w:pStyle w:val="paragraph"/>
                  </w:pPr>
                  <w:r>
                    <w:t>(1)</w:t>
                  </w:r>
                  <w:r>
                    <w:tab/>
                  </w:r>
                  <w:proofErr w:type="gramStart"/>
                  <w:r>
                    <w:t>participate</w:t>
                  </w:r>
                  <w:proofErr w:type="gramEnd"/>
                  <w:r>
                    <w:t xml:space="preserve"> in Choices employment and training as specified in §811.25(c)-(d) of this chapter; </w:t>
                  </w:r>
                </w:p>
                <w:p w:rsidR="00887DBE" w:rsidRDefault="00887DBE" w:rsidP="00887DBE">
                  <w:pPr>
                    <w:pStyle w:val="paragraph"/>
                  </w:pPr>
                  <w:r>
                    <w:t>(2)</w:t>
                  </w:r>
                  <w:r>
                    <w:tab/>
                  </w:r>
                  <w:proofErr w:type="gramStart"/>
                  <w:r>
                    <w:t>comply</w:t>
                  </w:r>
                  <w:proofErr w:type="gramEnd"/>
                  <w:r>
                    <w:t xml:space="preserve"> with requirements regarding core and non-core activities, as specified in §§811.25-811.32 of this chapter; </w:t>
                  </w:r>
                </w:p>
                <w:p w:rsidR="00887DBE" w:rsidRDefault="00887DBE" w:rsidP="00887DBE">
                  <w:pPr>
                    <w:pStyle w:val="paragraph"/>
                  </w:pPr>
                  <w:r>
                    <w:t>(3)</w:t>
                  </w:r>
                  <w:r>
                    <w:tab/>
                  </w:r>
                  <w:proofErr w:type="gramStart"/>
                  <w:r>
                    <w:t>comply</w:t>
                  </w:r>
                  <w:proofErr w:type="gramEnd"/>
                  <w:r>
                    <w:t xml:space="preserve"> with all requirements specified in the family employment plan; and</w:t>
                  </w:r>
                </w:p>
                <w:p w:rsidR="00887DBE" w:rsidRDefault="00887DBE" w:rsidP="00887DBE">
                  <w:pPr>
                    <w:pStyle w:val="paragraph"/>
                  </w:pPr>
                  <w:r>
                    <w:t>(4)</w:t>
                  </w:r>
                  <w:r>
                    <w:tab/>
                  </w:r>
                  <w:proofErr w:type="gramStart"/>
                  <w:r>
                    <w:t>sign</w:t>
                  </w:r>
                  <w:proofErr w:type="gramEnd"/>
                  <w:r>
                    <w:t xml:space="preserve"> a form that contains all the information identified in the Commission's Family Work Requirement form, as described in §811.24 of this chapter. </w:t>
                  </w:r>
                </w:p>
                <w:p w:rsidR="00887DBE" w:rsidRDefault="00887DBE" w:rsidP="00887DBE">
                  <w:pPr>
                    <w:pStyle w:val="subsection"/>
                  </w:pPr>
                  <w:r>
                    <w:t>(d)</w:t>
                  </w:r>
                  <w:r>
                    <w:tab/>
                    <w:t>Within single-parent families, mandatory individuals, and exempt recipients who voluntarily participate in Choices services, shall participate in assessment and employment planning appointments and assigned employment and training activities as follows:</w:t>
                  </w:r>
                </w:p>
                <w:p w:rsidR="00887DBE" w:rsidRDefault="00887DBE" w:rsidP="00887DBE">
                  <w:pPr>
                    <w:pStyle w:val="paragraph"/>
                  </w:pPr>
                  <w:r>
                    <w:t>(1)</w:t>
                  </w:r>
                  <w:r>
                    <w:tab/>
                  </w:r>
                  <w:proofErr w:type="gramStart"/>
                  <w:r>
                    <w:t>participate</w:t>
                  </w:r>
                  <w:proofErr w:type="gramEnd"/>
                  <w:r>
                    <w:t xml:space="preserve"> in Choices employment and training activities as specified in §811.25(b) of this chapter; </w:t>
                  </w:r>
                </w:p>
                <w:p w:rsidR="00887DBE" w:rsidRDefault="00887DBE" w:rsidP="00887DBE">
                  <w:pPr>
                    <w:pStyle w:val="paragraph"/>
                  </w:pPr>
                  <w:r>
                    <w:t>(2)</w:t>
                  </w:r>
                  <w:r>
                    <w:tab/>
                  </w:r>
                  <w:proofErr w:type="gramStart"/>
                  <w:r>
                    <w:t>comply</w:t>
                  </w:r>
                  <w:proofErr w:type="gramEnd"/>
                  <w:r>
                    <w:t xml:space="preserve"> with requirements regarding core and non-core activities, as specified in §§811.25-811.32 of this chapter; and</w:t>
                  </w:r>
                </w:p>
                <w:p w:rsidR="00887DBE" w:rsidRDefault="00887DBE" w:rsidP="00887DBE">
                  <w:pPr>
                    <w:pStyle w:val="paragraph"/>
                  </w:pPr>
                  <w:r>
                    <w:t>(3)</w:t>
                  </w:r>
                  <w:r>
                    <w:tab/>
                  </w:r>
                  <w:proofErr w:type="gramStart"/>
                  <w:r>
                    <w:t>comply</w:t>
                  </w:r>
                  <w:proofErr w:type="gramEnd"/>
                  <w:r>
                    <w:t xml:space="preserve"> with all requirements specified in the family employment plan.</w:t>
                  </w:r>
                </w:p>
                <w:p w:rsidR="00887DBE" w:rsidRDefault="00887DBE" w:rsidP="00887DBE">
                  <w:pPr>
                    <w:pStyle w:val="subsection"/>
                  </w:pPr>
                  <w:r>
                    <w:t>(e)</w:t>
                  </w:r>
                  <w:r>
                    <w:tab/>
                    <w:t>A Board shall ensure that recipients who elect to receive the EID through TDHS:</w:t>
                  </w:r>
                </w:p>
                <w:p w:rsidR="00887DBE" w:rsidRDefault="00887DBE" w:rsidP="00887DBE">
                  <w:pPr>
                    <w:pStyle w:val="paragraph"/>
                  </w:pPr>
                  <w:r>
                    <w:t>(1)</w:t>
                  </w:r>
                  <w:r>
                    <w:tab/>
                  </w:r>
                  <w:proofErr w:type="gramStart"/>
                  <w:r>
                    <w:t>report</w:t>
                  </w:r>
                  <w:proofErr w:type="gramEnd"/>
                  <w:r>
                    <w:t xml:space="preserve"> actual hours of work to a Board; and </w:t>
                  </w:r>
                </w:p>
                <w:p w:rsidR="00887DBE" w:rsidRDefault="00887DBE" w:rsidP="00887DBE">
                  <w:pPr>
                    <w:pStyle w:val="paragraph"/>
                    <w:spacing w:before="0" w:after="0"/>
                  </w:pPr>
                  <w:r>
                    <w:t>(2)</w:t>
                  </w:r>
                  <w:r>
                    <w:tab/>
                  </w:r>
                  <w:proofErr w:type="gramStart"/>
                  <w:r>
                    <w:t>are</w:t>
                  </w:r>
                  <w:proofErr w:type="gramEnd"/>
                  <w:r>
                    <w:t xml:space="preserve"> provided with information on available post-employment services.</w:t>
                  </w:r>
                </w:p>
                <w:p w:rsidR="00887DBE" w:rsidRPr="00887DBE" w:rsidRDefault="00887DBE" w:rsidP="00887DBE">
                  <w:pPr>
                    <w:pStyle w:val="paragraph"/>
                    <w:spacing w:before="0" w:after="0"/>
                    <w:rPr>
                      <w:i/>
                      <w:sz w:val="16"/>
                      <w:szCs w:val="16"/>
                    </w:rPr>
                  </w:pPr>
                </w:p>
                <w:p w:rsidR="00C04D1C" w:rsidRPr="00887DBE" w:rsidRDefault="00887DBE" w:rsidP="00887DBE">
                  <w:pPr>
                    <w:rPr>
                      <w:i/>
                      <w:sz w:val="22"/>
                      <w:szCs w:val="22"/>
                    </w:rPr>
                  </w:pPr>
                  <w:r w:rsidRPr="00887DBE">
                    <w:rPr>
                      <w:i/>
                      <w:sz w:val="22"/>
                      <w:szCs w:val="22"/>
                    </w:rPr>
                    <w:t>The provisions of this §811.13 adopted to be effective November 18, 2003, as published in the Texas Register, November 14, 2003, 28 TexReg 10261.</w:t>
                  </w:r>
                </w:p>
              </w:txbxContent>
            </v:textbox>
          </v:shape>
        </w:pict>
      </w: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3F5D59" w:rsidRDefault="003F5D59" w:rsidP="00EB59B4">
      <w:pPr>
        <w:autoSpaceDE w:val="0"/>
        <w:autoSpaceDN w:val="0"/>
        <w:adjustRightInd w:val="0"/>
        <w:jc w:val="center"/>
        <w:rPr>
          <w:b/>
        </w:rPr>
      </w:pPr>
    </w:p>
    <w:p w:rsidR="00887DBE" w:rsidRDefault="00887DBE" w:rsidP="00A52906">
      <w:pPr>
        <w:pStyle w:val="Section3"/>
        <w:ind w:left="0" w:firstLine="0"/>
      </w:pPr>
      <w:bookmarkStart w:id="0" w:name="_Toc81720572"/>
    </w:p>
    <w:p w:rsidR="00887DBE" w:rsidRDefault="00887DBE" w:rsidP="00A52906">
      <w:pPr>
        <w:pStyle w:val="Section3"/>
        <w:ind w:left="0" w:firstLine="0"/>
      </w:pPr>
    </w:p>
    <w:p w:rsidR="00887DBE" w:rsidRDefault="00887DBE" w:rsidP="00A52906">
      <w:pPr>
        <w:pStyle w:val="Section3"/>
        <w:ind w:left="0" w:firstLine="0"/>
      </w:pPr>
    </w:p>
    <w:p w:rsidR="00887DBE" w:rsidRDefault="00887DBE" w:rsidP="00A52906">
      <w:pPr>
        <w:pStyle w:val="Section3"/>
        <w:ind w:left="0" w:firstLine="0"/>
      </w:pPr>
    </w:p>
    <w:p w:rsidR="00887DBE" w:rsidRDefault="00887DBE" w:rsidP="00A52906">
      <w:pPr>
        <w:pStyle w:val="Section3"/>
        <w:ind w:left="0" w:firstLine="0"/>
      </w:pPr>
    </w:p>
    <w:p w:rsidR="00887DBE" w:rsidRPr="00102413" w:rsidRDefault="00887DBE" w:rsidP="00887DBE">
      <w:pPr>
        <w:autoSpaceDE w:val="0"/>
        <w:autoSpaceDN w:val="0"/>
        <w:adjustRightInd w:val="0"/>
        <w:ind w:left="288"/>
        <w:rPr>
          <w:b/>
        </w:rPr>
      </w:pPr>
      <w:r>
        <w:br w:type="page"/>
      </w:r>
      <w:bookmarkEnd w:id="0"/>
      <w:r w:rsidRPr="00370D1A">
        <w:rPr>
          <w:rFonts w:ascii="Times New Roman Bold" w:hAnsi="Times New Roman Bold"/>
          <w:b/>
        </w:rPr>
        <w:lastRenderedPageBreak/>
        <w:t>Source</w:t>
      </w:r>
      <w:r w:rsidRPr="00102413">
        <w:rPr>
          <w:rFonts w:ascii="Times New Roman Bold" w:hAnsi="Times New Roman Bold"/>
          <w:b/>
        </w:rPr>
        <w:t xml:space="preserve">:  </w:t>
      </w:r>
      <w:r w:rsidRPr="00102413">
        <w:rPr>
          <w:b/>
        </w:rPr>
        <w:t>Workforce Solutions Operations Policies and Procedures, Expanded Service Standard, VII. Information Resources for Staff, H. Cooperation Rules &amp; Procedures</w:t>
      </w:r>
    </w:p>
    <w:p w:rsidR="00543EC2" w:rsidRDefault="00887DBE" w:rsidP="00887DBE">
      <w:pPr>
        <w:pStyle w:val="Section3"/>
        <w:ind w:left="0" w:firstLine="0"/>
      </w:pPr>
      <w:r>
        <w:rPr>
          <w:noProof/>
        </w:rPr>
        <w:pict>
          <v:shape id="_x0000_s1029" type="#_x0000_t202" style="position:absolute;left:0;text-align:left;margin-left:0;margin-top:14.2pt;width:433.05pt;height:479.4pt;z-index:251658240;mso-height-percent:200;mso-position-horizontal:center;mso-height-percent:200;mso-width-relative:margin;mso-height-relative:margin">
            <v:textbox style="mso-fit-shape-to-text:t">
              <w:txbxContent>
                <w:p w:rsidR="00887DBE" w:rsidRPr="000E006D" w:rsidRDefault="00887DBE" w:rsidP="00887DBE">
                  <w:pPr>
                    <w:rPr>
                      <w:b/>
                      <w:sz w:val="28"/>
                    </w:rPr>
                  </w:pPr>
                  <w:r>
                    <w:rPr>
                      <w:b/>
                      <w:sz w:val="28"/>
                    </w:rPr>
                    <w:t>No Response</w:t>
                  </w:r>
                  <w:r w:rsidRPr="000E006D">
                    <w:rPr>
                      <w:b/>
                      <w:sz w:val="28"/>
                    </w:rPr>
                    <w:t xml:space="preserve"> to a Recruiting Letter</w:t>
                  </w:r>
                </w:p>
                <w:p w:rsidR="00887DBE" w:rsidRDefault="00887DBE" w:rsidP="00887DBE">
                  <w:r w:rsidRPr="0084476C">
                    <w:t xml:space="preserve">Workforce Solutions mails </w:t>
                  </w:r>
                  <w:r>
                    <w:t>recruiting</w:t>
                  </w:r>
                  <w:r w:rsidRPr="0084476C">
                    <w:t xml:space="preserve"> letters to TANF and SNAP recipients who are required to cooperate with us and haven’t </w:t>
                  </w:r>
                  <w:r>
                    <w:t xml:space="preserve">yet </w:t>
                  </w:r>
                  <w:r w:rsidRPr="0084476C">
                    <w:t xml:space="preserve">received an orientation.  </w:t>
                  </w:r>
                </w:p>
                <w:p w:rsidR="00887DBE" w:rsidRDefault="00887DBE" w:rsidP="00887DBE"/>
                <w:p w:rsidR="00887DBE" w:rsidRPr="0084476C" w:rsidRDefault="00887DBE" w:rsidP="00887DBE">
                  <w:pPr>
                    <w:ind w:left="648" w:right="1440"/>
                  </w:pPr>
                  <w:r>
                    <w:t xml:space="preserve">We tailor the letter </w:t>
                  </w:r>
                  <w:r w:rsidRPr="0084476C">
                    <w:t>for each customer group, state the consequences for failing to respond</w:t>
                  </w:r>
                  <w:r>
                    <w:t>,</w:t>
                  </w:r>
                  <w:r w:rsidRPr="0084476C">
                    <w:t xml:space="preserve"> and give a timeframe for responding. </w:t>
                  </w:r>
                </w:p>
                <w:p w:rsidR="00887DBE" w:rsidRPr="0084476C" w:rsidRDefault="00887DBE" w:rsidP="00887DBE"/>
                <w:p w:rsidR="00887DBE" w:rsidRDefault="00887DBE" w:rsidP="00887DBE">
                  <w:pPr>
                    <w:ind w:left="558" w:right="720"/>
                    <w:rPr>
                      <w:b/>
                    </w:rPr>
                  </w:pPr>
                  <w:r w:rsidRPr="00E814D9">
                    <w:rPr>
                      <w:b/>
                    </w:rPr>
                    <w:t xml:space="preserve">Customers must respond to our letter no later than </w:t>
                  </w:r>
                  <w:r w:rsidRPr="00E814D9">
                    <w:rPr>
                      <w:b/>
                      <w:u w:val="single"/>
                    </w:rPr>
                    <w:t>seven calendar days</w:t>
                  </w:r>
                  <w:r w:rsidRPr="00E814D9">
                    <w:rPr>
                      <w:b/>
                    </w:rPr>
                    <w:t xml:space="preserve"> from the date of the letter.</w:t>
                  </w:r>
                  <w:r>
                    <w:rPr>
                      <w:b/>
                    </w:rPr>
                    <w:t xml:space="preserve">  </w:t>
                  </w:r>
                </w:p>
                <w:p w:rsidR="00887DBE" w:rsidRDefault="00887DBE" w:rsidP="00887DBE">
                  <w:pPr>
                    <w:rPr>
                      <w:u w:val="single"/>
                    </w:rPr>
                  </w:pPr>
                </w:p>
                <w:p w:rsidR="00887DBE" w:rsidRPr="00DC247D" w:rsidRDefault="00887DBE" w:rsidP="00887DBE">
                  <w:pPr>
                    <w:ind w:left="288"/>
                    <w:rPr>
                      <w:u w:val="single"/>
                    </w:rPr>
                  </w:pPr>
                  <w:r w:rsidRPr="00DC247D">
                    <w:rPr>
                      <w:u w:val="single"/>
                    </w:rPr>
                    <w:t xml:space="preserve">Our procedures for initiating penalties when a customer doesn’t respond to a recruiting letter are: </w:t>
                  </w:r>
                  <w:r w:rsidRPr="00DC247D">
                    <w:rPr>
                      <w:u w:val="single"/>
                    </w:rPr>
                    <w:br/>
                  </w:r>
                </w:p>
                <w:p w:rsidR="00887DBE" w:rsidRPr="00DC247D" w:rsidRDefault="00887DBE" w:rsidP="00887DBE">
                  <w:pPr>
                    <w:pStyle w:val="ListParagraph"/>
                    <w:numPr>
                      <w:ilvl w:val="0"/>
                      <w:numId w:val="31"/>
                    </w:numPr>
                    <w:ind w:left="1008"/>
                    <w:contextualSpacing/>
                  </w:pPr>
                  <w:r w:rsidRPr="00DC247D">
                    <w:rPr>
                      <w:b/>
                    </w:rPr>
                    <w:t>On the eighth day</w:t>
                  </w:r>
                  <w:r w:rsidRPr="00DC247D">
                    <w:t xml:space="preserve"> from the date of our recruiting letter, a Tracker checks the customer record in TWIST to determine if she or he responded to our letter.  The Tracker looks for one of the following as evidence:</w:t>
                  </w:r>
                </w:p>
                <w:p w:rsidR="00887DBE" w:rsidRPr="00DC247D" w:rsidRDefault="00887DBE" w:rsidP="00887DBE">
                  <w:pPr>
                    <w:ind w:left="288"/>
                  </w:pPr>
                </w:p>
                <w:p w:rsidR="00887DBE" w:rsidRPr="00DC247D" w:rsidRDefault="00887DBE" w:rsidP="00887DBE">
                  <w:pPr>
                    <w:pStyle w:val="ListParagraph"/>
                    <w:numPr>
                      <w:ilvl w:val="0"/>
                      <w:numId w:val="32"/>
                    </w:numPr>
                    <w:ind w:left="1728"/>
                    <w:contextualSpacing/>
                  </w:pPr>
                  <w:r w:rsidRPr="00DC247D">
                    <w:t xml:space="preserve">A record that the customer participated in an orientation; </w:t>
                  </w:r>
                </w:p>
                <w:p w:rsidR="00887DBE" w:rsidRPr="00DC247D" w:rsidRDefault="00887DBE" w:rsidP="00887DBE">
                  <w:pPr>
                    <w:pStyle w:val="ListParagraph"/>
                    <w:numPr>
                      <w:ilvl w:val="0"/>
                      <w:numId w:val="32"/>
                    </w:numPr>
                    <w:ind w:left="1728"/>
                    <w:contextualSpacing/>
                  </w:pPr>
                  <w:r w:rsidRPr="00DC247D">
                    <w:t xml:space="preserve">A rescheduled orientation appointment; or </w:t>
                  </w:r>
                </w:p>
                <w:p w:rsidR="00887DBE" w:rsidRPr="00DC247D" w:rsidRDefault="00887DBE" w:rsidP="00887DBE">
                  <w:pPr>
                    <w:pStyle w:val="ListParagraph"/>
                    <w:numPr>
                      <w:ilvl w:val="0"/>
                      <w:numId w:val="32"/>
                    </w:numPr>
                    <w:ind w:left="1728"/>
                    <w:contextualSpacing/>
                  </w:pPr>
                  <w:r w:rsidRPr="00DC247D">
                    <w:t>A record of Good Cause.</w:t>
                  </w:r>
                </w:p>
                <w:p w:rsidR="00887DBE" w:rsidRPr="00DC247D" w:rsidRDefault="00887DBE" w:rsidP="00887DBE">
                  <w:pPr>
                    <w:ind w:left="648"/>
                  </w:pPr>
                </w:p>
                <w:p w:rsidR="00887DBE" w:rsidRPr="00DC247D" w:rsidRDefault="00887DBE" w:rsidP="00887DBE">
                  <w:pPr>
                    <w:pStyle w:val="ListParagraph"/>
                    <w:numPr>
                      <w:ilvl w:val="0"/>
                      <w:numId w:val="33"/>
                    </w:numPr>
                    <w:ind w:left="1008"/>
                    <w:contextualSpacing/>
                  </w:pPr>
                  <w:r w:rsidRPr="00DC247D">
                    <w:t xml:space="preserve">If the customer hasn’t responded, the Tracker </w:t>
                  </w:r>
                  <w:r w:rsidRPr="00DC247D">
                    <w:rPr>
                      <w:u w:val="single"/>
                    </w:rPr>
                    <w:t>initiates a penalty</w:t>
                  </w:r>
                  <w:r w:rsidRPr="00DC247D">
                    <w:t xml:space="preserve"> in the customer’s record in TWIST </w:t>
                  </w:r>
                  <w:r w:rsidRPr="00DC247D">
                    <w:rPr>
                      <w:b/>
                      <w:u w:val="single"/>
                    </w:rPr>
                    <w:t>on the eighth day</w:t>
                  </w:r>
                  <w:r w:rsidRPr="00DC247D">
                    <w:t xml:space="preserve">.  </w:t>
                  </w:r>
                </w:p>
                <w:p w:rsidR="00887DBE" w:rsidRPr="00DC247D" w:rsidRDefault="00887DBE" w:rsidP="00887DBE"/>
                <w:p w:rsidR="00887DBE" w:rsidRPr="00DC247D" w:rsidRDefault="00887DBE" w:rsidP="00887DBE">
                  <w:pPr>
                    <w:tabs>
                      <w:tab w:val="left" w:pos="2160"/>
                    </w:tabs>
                    <w:ind w:left="2088" w:hanging="1080"/>
                  </w:pPr>
                  <w:r w:rsidRPr="00DC247D">
                    <w:t>Example:</w:t>
                  </w:r>
                  <w:r w:rsidRPr="00DC247D">
                    <w:tab/>
                    <w:t>If the date of the letter is Monday February 14</w:t>
                  </w:r>
                  <w:r w:rsidRPr="00DA1497">
                    <w:rPr>
                      <w:vertAlign w:val="superscript"/>
                    </w:rPr>
                    <w:t>th</w:t>
                  </w:r>
                  <w:r>
                    <w:t xml:space="preserve"> </w:t>
                  </w:r>
                  <w:r w:rsidRPr="00DC247D">
                    <w:t>– we expect the customer to respond by Monday February 21</w:t>
                  </w:r>
                  <w:r w:rsidRPr="001313B8">
                    <w:rPr>
                      <w:vertAlign w:val="superscript"/>
                    </w:rPr>
                    <w:t>st</w:t>
                  </w:r>
                  <w:r w:rsidRPr="00DC247D">
                    <w:t xml:space="preserve">.  (In this example: Mon = day 0, Tues = day 1, Wed = day 2, Thurs = day 3, Fri = day 4, Sat = day 5, Sun = day 6, Mon = day 7).  </w:t>
                  </w:r>
                </w:p>
                <w:p w:rsidR="00887DBE" w:rsidRPr="00DC247D" w:rsidRDefault="00887DBE" w:rsidP="00887DBE">
                  <w:pPr>
                    <w:ind w:left="1008"/>
                  </w:pPr>
                </w:p>
                <w:p w:rsidR="00887DBE" w:rsidRPr="00F644A8" w:rsidRDefault="00887DBE" w:rsidP="00887DBE">
                  <w:pPr>
                    <w:ind w:left="2088"/>
                    <w:rPr>
                      <w:highlight w:val="lightGray"/>
                    </w:rPr>
                  </w:pPr>
                  <w:r w:rsidRPr="00DC247D">
                    <w:t>In TWIST, initiate a penalty on Tuesday February 22</w:t>
                  </w:r>
                  <w:r w:rsidRPr="00E814D9">
                    <w:rPr>
                      <w:vertAlign w:val="superscript"/>
                    </w:rPr>
                    <w:t>nd</w:t>
                  </w:r>
                  <w:r>
                    <w:t xml:space="preserve"> </w:t>
                  </w:r>
                  <w:r w:rsidRPr="00E814D9">
                    <w:t>and enter the non-cooperate date as Monday February 21</w:t>
                  </w:r>
                  <w:r w:rsidRPr="001313B8">
                    <w:rPr>
                      <w:vertAlign w:val="superscript"/>
                    </w:rPr>
                    <w:t>st</w:t>
                  </w:r>
                  <w:r w:rsidRPr="00E814D9">
                    <w:t>.</w:t>
                  </w:r>
                </w:p>
                <w:p w:rsidR="00887DBE" w:rsidRPr="00F644A8" w:rsidRDefault="00887DBE" w:rsidP="00887DBE">
                  <w:pPr>
                    <w:rPr>
                      <w:b/>
                      <w:color w:val="FF0000"/>
                      <w:highlight w:val="lightGray"/>
                    </w:rPr>
                  </w:pPr>
                </w:p>
                <w:p w:rsidR="00887DBE" w:rsidRPr="001313B8" w:rsidRDefault="00887DBE" w:rsidP="00887DBE"/>
              </w:txbxContent>
            </v:textbox>
          </v:shape>
        </w:pict>
      </w:r>
    </w:p>
    <w:p w:rsidR="00370D1A" w:rsidRDefault="00370D1A" w:rsidP="00A52906">
      <w:pPr>
        <w:autoSpaceDE w:val="0"/>
        <w:autoSpaceDN w:val="0"/>
        <w:adjustRightInd w:val="0"/>
        <w:rPr>
          <w:rFonts w:ascii="Times New Roman Bold" w:hAnsi="Times New Roman Bold"/>
          <w:b/>
        </w:rPr>
      </w:pPr>
    </w:p>
    <w:p w:rsidR="00370D1A" w:rsidRDefault="00370D1A" w:rsidP="00A52906">
      <w:pPr>
        <w:autoSpaceDE w:val="0"/>
        <w:autoSpaceDN w:val="0"/>
        <w:adjustRightInd w:val="0"/>
        <w:rPr>
          <w:rFonts w:ascii="Times New Roman Bold" w:hAnsi="Times New Roman Bold"/>
          <w:b/>
        </w:rPr>
      </w:pPr>
    </w:p>
    <w:sectPr w:rsidR="00370D1A" w:rsidSect="00FB675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00A" w:rsidRDefault="000D600A">
      <w:r>
        <w:separator/>
      </w:r>
    </w:p>
  </w:endnote>
  <w:endnote w:type="continuationSeparator" w:id="0">
    <w:p w:rsidR="000D600A" w:rsidRDefault="000D60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50" w:rsidRDefault="00FA52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1C" w:rsidRDefault="00C04D1C" w:rsidP="00A96C22">
    <w:pPr>
      <w:pStyle w:val="Footer"/>
    </w:pPr>
    <w:r>
      <w:t>Preparation for Appeal Hearings</w:t>
    </w:r>
    <w:r w:rsidRPr="00B036C0">
      <w:t xml:space="preserve"> </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B350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3500">
      <w:rPr>
        <w:rStyle w:val="PageNumber"/>
        <w:noProof/>
      </w:rPr>
      <w:t>3</w:t>
    </w:r>
    <w:r>
      <w:rPr>
        <w:rStyle w:val="PageNumber"/>
      </w:rPr>
      <w:fldChar w:fldCharType="end"/>
    </w:r>
  </w:p>
  <w:p w:rsidR="00C04D1C" w:rsidRDefault="00C04D1C" w:rsidP="00A96C22">
    <w:pPr>
      <w:pStyle w:val="Footer"/>
      <w:rPr>
        <w:rStyle w:val="PageNumber"/>
      </w:rPr>
    </w:pPr>
    <w:r>
      <w:t>Clear Statement of Workforce Solutions Policy</w:t>
    </w:r>
    <w:r>
      <w:rPr>
        <w:rStyle w:val="PageNumber"/>
      </w:rPr>
      <w:tab/>
      <w:t>Revised 03/0</w:t>
    </w:r>
    <w:r w:rsidR="00370942">
      <w:rPr>
        <w:rStyle w:val="PageNumber"/>
      </w:rPr>
      <w:t>9/</w:t>
    </w:r>
    <w:r>
      <w:rPr>
        <w:rStyle w:val="PageNumber"/>
      </w:rPr>
      <w:t>2011</w:t>
    </w:r>
  </w:p>
  <w:p w:rsidR="00C04D1C" w:rsidRPr="00A96C22" w:rsidRDefault="00C04D1C" w:rsidP="00A96C22">
    <w:pPr>
      <w:pStyle w:val="Footer"/>
    </w:pPr>
    <w:r>
      <w:rPr>
        <w:rStyle w:val="PageNumber"/>
      </w:rPr>
      <w:t>TANF – Failure to Respond to Recruitment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50" w:rsidRDefault="00FA52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00A" w:rsidRDefault="000D600A">
      <w:r>
        <w:separator/>
      </w:r>
    </w:p>
  </w:footnote>
  <w:footnote w:type="continuationSeparator" w:id="0">
    <w:p w:rsidR="000D600A" w:rsidRDefault="000D6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50" w:rsidRDefault="00FA52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50" w:rsidRDefault="00FA52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50" w:rsidRDefault="00FA52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D07"/>
    <w:multiLevelType w:val="hybridMultilevel"/>
    <w:tmpl w:val="1CA69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10D8D"/>
    <w:multiLevelType w:val="hybridMultilevel"/>
    <w:tmpl w:val="0D667508"/>
    <w:lvl w:ilvl="0" w:tplc="4CEC825E">
      <w:start w:val="2"/>
      <w:numFmt w:val="bullet"/>
      <w:lvlText w:val=""/>
      <w:lvlJc w:val="left"/>
      <w:pPr>
        <w:tabs>
          <w:tab w:val="num" w:pos="288"/>
        </w:tabs>
        <w:ind w:left="288" w:hanging="288"/>
      </w:pPr>
      <w:rPr>
        <w:rFonts w:ascii="Wingdings" w:hAnsi="Wingdings"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nsid w:val="06272A31"/>
    <w:multiLevelType w:val="multilevel"/>
    <w:tmpl w:val="1A22F8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0F0CDA"/>
    <w:multiLevelType w:val="hybridMultilevel"/>
    <w:tmpl w:val="1DF494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02360"/>
    <w:multiLevelType w:val="hybridMultilevel"/>
    <w:tmpl w:val="C9B82E52"/>
    <w:lvl w:ilvl="0" w:tplc="F5626B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A24F79"/>
    <w:multiLevelType w:val="hybridMultilevel"/>
    <w:tmpl w:val="FDE4D50A"/>
    <w:lvl w:ilvl="0" w:tplc="0409000F">
      <w:start w:val="1"/>
      <w:numFmt w:val="decimal"/>
      <w:lvlText w:val="%1."/>
      <w:lvlJc w:val="left"/>
      <w:pPr>
        <w:tabs>
          <w:tab w:val="num" w:pos="648"/>
        </w:tabs>
        <w:ind w:left="648" w:hanging="360"/>
      </w:pPr>
      <w:rPr>
        <w:rFonts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0B48AC"/>
    <w:multiLevelType w:val="multilevel"/>
    <w:tmpl w:val="C3D8A8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2BC5D86"/>
    <w:multiLevelType w:val="hybridMultilevel"/>
    <w:tmpl w:val="66B0EADE"/>
    <w:lvl w:ilvl="0" w:tplc="F5626B34">
      <w:start w:val="1"/>
      <w:numFmt w:val="bullet"/>
      <w:lvlText w:val=""/>
      <w:lvlJc w:val="left"/>
      <w:pPr>
        <w:tabs>
          <w:tab w:val="num" w:pos="648"/>
        </w:tabs>
        <w:ind w:left="648"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F91823"/>
    <w:multiLevelType w:val="hybridMultilevel"/>
    <w:tmpl w:val="40F466D2"/>
    <w:lvl w:ilvl="0" w:tplc="3CB67F0C">
      <w:start w:val="1"/>
      <w:numFmt w:val="bullet"/>
      <w:lvlText w:val="·"/>
      <w:lvlJc w:val="left"/>
      <w:pPr>
        <w:tabs>
          <w:tab w:val="num" w:pos="648"/>
        </w:tabs>
        <w:ind w:left="648"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9B20CA"/>
    <w:multiLevelType w:val="hybridMultilevel"/>
    <w:tmpl w:val="27F436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C00"/>
    <w:multiLevelType w:val="hybridMultilevel"/>
    <w:tmpl w:val="80CC9D62"/>
    <w:lvl w:ilvl="0" w:tplc="4CEC825E">
      <w:start w:val="2"/>
      <w:numFmt w:val="bullet"/>
      <w:lvlText w:val=""/>
      <w:lvlJc w:val="left"/>
      <w:pPr>
        <w:tabs>
          <w:tab w:val="num" w:pos="288"/>
        </w:tabs>
        <w:ind w:left="288"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4CEC825E">
      <w:start w:val="2"/>
      <w:numFmt w:val="bullet"/>
      <w:lvlText w:val=""/>
      <w:lvlJc w:val="left"/>
      <w:pPr>
        <w:tabs>
          <w:tab w:val="num" w:pos="1800"/>
        </w:tabs>
        <w:ind w:left="1800" w:hanging="288"/>
      </w:pPr>
      <w:rPr>
        <w:rFonts w:ascii="Wingdings" w:hAnsi="Wingdings" w:hint="default"/>
        <w:color w:val="auto"/>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
    <w:nsid w:val="164B62F3"/>
    <w:multiLevelType w:val="hybridMultilevel"/>
    <w:tmpl w:val="94E24576"/>
    <w:lvl w:ilvl="0" w:tplc="4CEC825E">
      <w:start w:val="2"/>
      <w:numFmt w:val="bullet"/>
      <w:lvlText w:val=""/>
      <w:lvlJc w:val="left"/>
      <w:pPr>
        <w:tabs>
          <w:tab w:val="num" w:pos="576"/>
        </w:tabs>
        <w:ind w:left="576"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AA1569"/>
    <w:multiLevelType w:val="hybridMultilevel"/>
    <w:tmpl w:val="67E4EB86"/>
    <w:lvl w:ilvl="0" w:tplc="0409000F">
      <w:start w:val="1"/>
      <w:numFmt w:val="decimal"/>
      <w:lvlText w:val="%1."/>
      <w:lvlJc w:val="left"/>
      <w:pPr>
        <w:ind w:left="864" w:hanging="360"/>
      </w:pPr>
    </w:lvl>
    <w:lvl w:ilvl="1" w:tplc="0409000F">
      <w:start w:val="1"/>
      <w:numFmt w:val="decimal"/>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nsid w:val="1BD43DDD"/>
    <w:multiLevelType w:val="multilevel"/>
    <w:tmpl w:val="094605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DD05AA1"/>
    <w:multiLevelType w:val="hybridMultilevel"/>
    <w:tmpl w:val="3426263A"/>
    <w:lvl w:ilvl="0" w:tplc="0409000B">
      <w:start w:val="1"/>
      <w:numFmt w:val="bullet"/>
      <w:lvlText w:val=""/>
      <w:lvlJc w:val="left"/>
      <w:pPr>
        <w:tabs>
          <w:tab w:val="num" w:pos="648"/>
        </w:tabs>
        <w:ind w:left="648"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4CEC825E">
      <w:start w:val="2"/>
      <w:numFmt w:val="bullet"/>
      <w:lvlText w:val=""/>
      <w:lvlJc w:val="left"/>
      <w:pPr>
        <w:tabs>
          <w:tab w:val="num" w:pos="2088"/>
        </w:tabs>
        <w:ind w:left="2088" w:hanging="288"/>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E63D5E"/>
    <w:multiLevelType w:val="hybridMultilevel"/>
    <w:tmpl w:val="DC2C10AC"/>
    <w:lvl w:ilvl="0" w:tplc="4CEC825E">
      <w:start w:val="2"/>
      <w:numFmt w:val="bullet"/>
      <w:lvlText w:val=""/>
      <w:lvlJc w:val="left"/>
      <w:pPr>
        <w:tabs>
          <w:tab w:val="num" w:pos="288"/>
        </w:tabs>
        <w:ind w:left="288" w:hanging="288"/>
      </w:pPr>
      <w:rPr>
        <w:rFonts w:ascii="Wingdings" w:hAnsi="Wingdings" w:hint="default"/>
        <w:color w:val="auto"/>
      </w:rPr>
    </w:lvl>
    <w:lvl w:ilvl="1" w:tplc="0409000B">
      <w:start w:val="1"/>
      <w:numFmt w:val="bullet"/>
      <w:lvlText w:val=""/>
      <w:lvlJc w:val="left"/>
      <w:pPr>
        <w:tabs>
          <w:tab w:val="num" w:pos="1152"/>
        </w:tabs>
        <w:ind w:left="1152" w:hanging="360"/>
      </w:pPr>
      <w:rPr>
        <w:rFonts w:ascii="Wingdings" w:hAnsi="Wingdings" w:hint="default"/>
        <w:color w:val="auto"/>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6">
    <w:nsid w:val="2279282B"/>
    <w:multiLevelType w:val="hybridMultilevel"/>
    <w:tmpl w:val="6DEE9DEC"/>
    <w:lvl w:ilvl="0" w:tplc="5C825FB0">
      <w:start w:val="1"/>
      <w:numFmt w:val="decimal"/>
      <w:lvlText w:val="%1."/>
      <w:lvlJc w:val="left"/>
      <w:pPr>
        <w:tabs>
          <w:tab w:val="num" w:pos="525"/>
        </w:tabs>
        <w:ind w:left="525" w:hanging="52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8C254FB"/>
    <w:multiLevelType w:val="hybridMultilevel"/>
    <w:tmpl w:val="C07E438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A34350F"/>
    <w:multiLevelType w:val="multilevel"/>
    <w:tmpl w:val="80CC9D62"/>
    <w:lvl w:ilvl="0">
      <w:start w:val="2"/>
      <w:numFmt w:val="bullet"/>
      <w:lvlText w:val=""/>
      <w:lvlJc w:val="left"/>
      <w:pPr>
        <w:tabs>
          <w:tab w:val="num" w:pos="288"/>
        </w:tabs>
        <w:ind w:left="288" w:hanging="288"/>
      </w:pPr>
      <w:rPr>
        <w:rFonts w:ascii="Wingdings" w:hAnsi="Wingdings" w:hint="default"/>
        <w:color w:val="auto"/>
      </w:rPr>
    </w:lvl>
    <w:lvl w:ilvl="1">
      <w:start w:val="1"/>
      <w:numFmt w:val="bullet"/>
      <w:lvlText w:val="o"/>
      <w:lvlJc w:val="left"/>
      <w:pPr>
        <w:tabs>
          <w:tab w:val="num" w:pos="1152"/>
        </w:tabs>
        <w:ind w:left="1152" w:hanging="360"/>
      </w:pPr>
      <w:rPr>
        <w:rFonts w:ascii="Courier New" w:hAnsi="Courier New" w:cs="Courier New" w:hint="default"/>
      </w:rPr>
    </w:lvl>
    <w:lvl w:ilvl="2">
      <w:start w:val="2"/>
      <w:numFmt w:val="bullet"/>
      <w:lvlText w:val=""/>
      <w:lvlJc w:val="left"/>
      <w:pPr>
        <w:tabs>
          <w:tab w:val="num" w:pos="1800"/>
        </w:tabs>
        <w:ind w:left="1800" w:hanging="288"/>
      </w:pPr>
      <w:rPr>
        <w:rFonts w:ascii="Wingdings" w:hAnsi="Wingdings" w:hint="default"/>
        <w:color w:val="auto"/>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19">
    <w:nsid w:val="2A3B6649"/>
    <w:multiLevelType w:val="hybridMultilevel"/>
    <w:tmpl w:val="44F8469E"/>
    <w:lvl w:ilvl="0" w:tplc="4CEC825E">
      <w:start w:val="2"/>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D263471"/>
    <w:multiLevelType w:val="hybridMultilevel"/>
    <w:tmpl w:val="1A22F84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88645B"/>
    <w:multiLevelType w:val="hybridMultilevel"/>
    <w:tmpl w:val="8D9E862E"/>
    <w:lvl w:ilvl="0" w:tplc="FFFFFFFF">
      <w:start w:val="1"/>
      <w:numFmt w:val="bullet"/>
      <w:lvlText w:val="▪"/>
      <w:lvlJc w:val="left"/>
      <w:pPr>
        <w:tabs>
          <w:tab w:val="num" w:pos="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088179C"/>
    <w:multiLevelType w:val="hybridMultilevel"/>
    <w:tmpl w:val="D42AF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BC2338"/>
    <w:multiLevelType w:val="hybridMultilevel"/>
    <w:tmpl w:val="B1BE7B0C"/>
    <w:lvl w:ilvl="0" w:tplc="0409000B">
      <w:start w:val="1"/>
      <w:numFmt w:val="bullet"/>
      <w:lvlText w:val=""/>
      <w:lvlJc w:val="left"/>
      <w:pPr>
        <w:tabs>
          <w:tab w:val="num" w:pos="648"/>
        </w:tabs>
        <w:ind w:left="648" w:hanging="360"/>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4CEC825E">
      <w:start w:val="2"/>
      <w:numFmt w:val="bullet"/>
      <w:lvlText w:val=""/>
      <w:lvlJc w:val="left"/>
      <w:pPr>
        <w:tabs>
          <w:tab w:val="num" w:pos="1800"/>
        </w:tabs>
        <w:ind w:left="1800" w:hanging="288"/>
      </w:pPr>
      <w:rPr>
        <w:rFonts w:ascii="Wingdings" w:hAnsi="Wingdings" w:hint="default"/>
        <w:color w:val="auto"/>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4">
    <w:nsid w:val="32D1334B"/>
    <w:multiLevelType w:val="multilevel"/>
    <w:tmpl w:val="DC2C10AC"/>
    <w:lvl w:ilvl="0">
      <w:start w:val="2"/>
      <w:numFmt w:val="bullet"/>
      <w:lvlText w:val=""/>
      <w:lvlJc w:val="left"/>
      <w:pPr>
        <w:tabs>
          <w:tab w:val="num" w:pos="288"/>
        </w:tabs>
        <w:ind w:left="288" w:hanging="288"/>
      </w:pPr>
      <w:rPr>
        <w:rFonts w:ascii="Wingdings" w:hAnsi="Wingdings" w:hint="default"/>
        <w:color w:val="auto"/>
      </w:rPr>
    </w:lvl>
    <w:lvl w:ilvl="1">
      <w:start w:val="1"/>
      <w:numFmt w:val="bullet"/>
      <w:lvlText w:val=""/>
      <w:lvlJc w:val="left"/>
      <w:pPr>
        <w:tabs>
          <w:tab w:val="num" w:pos="1152"/>
        </w:tabs>
        <w:ind w:left="1152" w:hanging="360"/>
      </w:pPr>
      <w:rPr>
        <w:rFonts w:ascii="Wingdings" w:hAnsi="Wingdings" w:hint="default"/>
        <w:color w:val="auto"/>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25">
    <w:nsid w:val="3EB43893"/>
    <w:multiLevelType w:val="multilevel"/>
    <w:tmpl w:val="9434FD3C"/>
    <w:lvl w:ilvl="0">
      <w:start w:val="2"/>
      <w:numFmt w:val="bullet"/>
      <w:lvlText w:val=""/>
      <w:lvlJc w:val="left"/>
      <w:pPr>
        <w:tabs>
          <w:tab w:val="num" w:pos="288"/>
        </w:tabs>
        <w:ind w:left="288" w:hanging="288"/>
      </w:pPr>
      <w:rPr>
        <w:rFonts w:ascii="Wingdings" w:hAnsi="Wingdings" w:hint="default"/>
        <w:color w:val="auto"/>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26">
    <w:nsid w:val="40A06F54"/>
    <w:multiLevelType w:val="multilevel"/>
    <w:tmpl w:val="80CC9D62"/>
    <w:lvl w:ilvl="0">
      <w:start w:val="2"/>
      <w:numFmt w:val="bullet"/>
      <w:lvlText w:val=""/>
      <w:lvlJc w:val="left"/>
      <w:pPr>
        <w:tabs>
          <w:tab w:val="num" w:pos="288"/>
        </w:tabs>
        <w:ind w:left="288" w:hanging="288"/>
      </w:pPr>
      <w:rPr>
        <w:rFonts w:ascii="Wingdings" w:hAnsi="Wingdings" w:hint="default"/>
        <w:color w:val="auto"/>
      </w:rPr>
    </w:lvl>
    <w:lvl w:ilvl="1">
      <w:start w:val="1"/>
      <w:numFmt w:val="bullet"/>
      <w:lvlText w:val="o"/>
      <w:lvlJc w:val="left"/>
      <w:pPr>
        <w:tabs>
          <w:tab w:val="num" w:pos="1152"/>
        </w:tabs>
        <w:ind w:left="1152" w:hanging="360"/>
      </w:pPr>
      <w:rPr>
        <w:rFonts w:ascii="Courier New" w:hAnsi="Courier New" w:cs="Courier New" w:hint="default"/>
      </w:rPr>
    </w:lvl>
    <w:lvl w:ilvl="2">
      <w:start w:val="2"/>
      <w:numFmt w:val="bullet"/>
      <w:lvlText w:val=""/>
      <w:lvlJc w:val="left"/>
      <w:pPr>
        <w:tabs>
          <w:tab w:val="num" w:pos="1800"/>
        </w:tabs>
        <w:ind w:left="1800" w:hanging="288"/>
      </w:pPr>
      <w:rPr>
        <w:rFonts w:ascii="Wingdings" w:hAnsi="Wingdings" w:hint="default"/>
        <w:color w:val="auto"/>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27">
    <w:nsid w:val="43E43C85"/>
    <w:multiLevelType w:val="hybridMultilevel"/>
    <w:tmpl w:val="094605E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0C25AF"/>
    <w:multiLevelType w:val="hybridMultilevel"/>
    <w:tmpl w:val="C3D8A8A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725508"/>
    <w:multiLevelType w:val="hybridMultilevel"/>
    <w:tmpl w:val="9434FD3C"/>
    <w:lvl w:ilvl="0" w:tplc="4CEC825E">
      <w:start w:val="2"/>
      <w:numFmt w:val="bullet"/>
      <w:lvlText w:val=""/>
      <w:lvlJc w:val="left"/>
      <w:pPr>
        <w:tabs>
          <w:tab w:val="num" w:pos="288"/>
        </w:tabs>
        <w:ind w:left="288" w:hanging="288"/>
      </w:pPr>
      <w:rPr>
        <w:rFonts w:ascii="Wingdings" w:hAnsi="Wingdings"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0">
    <w:nsid w:val="553E039C"/>
    <w:multiLevelType w:val="hybridMultilevel"/>
    <w:tmpl w:val="FADC65CC"/>
    <w:lvl w:ilvl="0" w:tplc="4CEC825E">
      <w:start w:val="2"/>
      <w:numFmt w:val="bullet"/>
      <w:lvlText w:val=""/>
      <w:lvlJc w:val="left"/>
      <w:pPr>
        <w:tabs>
          <w:tab w:val="num" w:pos="288"/>
        </w:tabs>
        <w:ind w:left="288" w:hanging="288"/>
      </w:pPr>
      <w:rPr>
        <w:rFonts w:ascii="Wingdings" w:hAnsi="Wingdings" w:hint="default"/>
        <w:color w:val="auto"/>
      </w:rPr>
    </w:lvl>
    <w:lvl w:ilvl="1" w:tplc="04090005">
      <w:start w:val="1"/>
      <w:numFmt w:val="bullet"/>
      <w:lvlText w:val=""/>
      <w:lvlJc w:val="left"/>
      <w:pPr>
        <w:tabs>
          <w:tab w:val="num" w:pos="1152"/>
        </w:tabs>
        <w:ind w:left="1152" w:hanging="360"/>
      </w:pPr>
      <w:rPr>
        <w:rFonts w:ascii="Wingdings" w:hAnsi="Wingdings" w:hint="default"/>
        <w:color w:val="auto"/>
      </w:rPr>
    </w:lvl>
    <w:lvl w:ilvl="2" w:tplc="04090005">
      <w:start w:val="1"/>
      <w:numFmt w:val="bullet"/>
      <w:lvlText w:val=""/>
      <w:lvlJc w:val="left"/>
      <w:pPr>
        <w:tabs>
          <w:tab w:val="num" w:pos="1872"/>
        </w:tabs>
        <w:ind w:left="1872" w:hanging="360"/>
      </w:pPr>
      <w:rPr>
        <w:rFonts w:ascii="Wingdings" w:hAnsi="Wingdings" w:hint="default"/>
        <w:color w:val="auto"/>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1">
    <w:nsid w:val="6EEC3234"/>
    <w:multiLevelType w:val="hybridMultilevel"/>
    <w:tmpl w:val="6C0EDD66"/>
    <w:lvl w:ilvl="0" w:tplc="4CEC825E">
      <w:start w:val="2"/>
      <w:numFmt w:val="bullet"/>
      <w:lvlText w:val=""/>
      <w:lvlJc w:val="left"/>
      <w:pPr>
        <w:tabs>
          <w:tab w:val="num" w:pos="576"/>
        </w:tabs>
        <w:ind w:left="576"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E45369"/>
    <w:multiLevelType w:val="multilevel"/>
    <w:tmpl w:val="80CC9D62"/>
    <w:lvl w:ilvl="0">
      <w:start w:val="2"/>
      <w:numFmt w:val="bullet"/>
      <w:lvlText w:val=""/>
      <w:lvlJc w:val="left"/>
      <w:pPr>
        <w:tabs>
          <w:tab w:val="num" w:pos="576"/>
        </w:tabs>
        <w:ind w:left="576" w:hanging="288"/>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bullet"/>
      <w:lvlText w:val=""/>
      <w:lvlJc w:val="left"/>
      <w:pPr>
        <w:tabs>
          <w:tab w:val="num" w:pos="2088"/>
        </w:tabs>
        <w:ind w:left="2088" w:hanging="288"/>
      </w:pPr>
      <w:rPr>
        <w:rFonts w:ascii="Wingdings" w:hAnsi="Wingdings"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6"/>
  </w:num>
  <w:num w:numId="4">
    <w:abstractNumId w:val="30"/>
  </w:num>
  <w:num w:numId="5">
    <w:abstractNumId w:val="15"/>
  </w:num>
  <w:num w:numId="6">
    <w:abstractNumId w:val="29"/>
  </w:num>
  <w:num w:numId="7">
    <w:abstractNumId w:val="32"/>
  </w:num>
  <w:num w:numId="8">
    <w:abstractNumId w:val="14"/>
  </w:num>
  <w:num w:numId="9">
    <w:abstractNumId w:val="24"/>
  </w:num>
  <w:num w:numId="10">
    <w:abstractNumId w:val="5"/>
  </w:num>
  <w:num w:numId="11">
    <w:abstractNumId w:val="18"/>
  </w:num>
  <w:num w:numId="12">
    <w:abstractNumId w:val="23"/>
  </w:num>
  <w:num w:numId="13">
    <w:abstractNumId w:val="26"/>
  </w:num>
  <w:num w:numId="14">
    <w:abstractNumId w:val="28"/>
  </w:num>
  <w:num w:numId="15">
    <w:abstractNumId w:val="6"/>
  </w:num>
  <w:num w:numId="16">
    <w:abstractNumId w:val="20"/>
  </w:num>
  <w:num w:numId="17">
    <w:abstractNumId w:val="2"/>
  </w:num>
  <w:num w:numId="18">
    <w:abstractNumId w:val="27"/>
  </w:num>
  <w:num w:numId="19">
    <w:abstractNumId w:val="13"/>
  </w:num>
  <w:num w:numId="20">
    <w:abstractNumId w:val="4"/>
  </w:num>
  <w:num w:numId="21">
    <w:abstractNumId w:val="25"/>
  </w:num>
  <w:num w:numId="22">
    <w:abstractNumId w:val="7"/>
  </w:num>
  <w:num w:numId="23">
    <w:abstractNumId w:val="21"/>
  </w:num>
  <w:num w:numId="24">
    <w:abstractNumId w:val="31"/>
  </w:num>
  <w:num w:numId="25">
    <w:abstractNumId w:val="11"/>
  </w:num>
  <w:num w:numId="26">
    <w:abstractNumId w:val="17"/>
  </w:num>
  <w:num w:numId="27">
    <w:abstractNumId w:val="3"/>
  </w:num>
  <w:num w:numId="28">
    <w:abstractNumId w:val="9"/>
  </w:num>
  <w:num w:numId="29">
    <w:abstractNumId w:val="19"/>
  </w:num>
  <w:num w:numId="30">
    <w:abstractNumId w:val="8"/>
  </w:num>
  <w:num w:numId="31">
    <w:abstractNumId w:val="22"/>
  </w:num>
  <w:num w:numId="32">
    <w:abstractNumId w:val="12"/>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226290"/>
    <w:rsid w:val="00033206"/>
    <w:rsid w:val="00061673"/>
    <w:rsid w:val="00080ACB"/>
    <w:rsid w:val="000946FF"/>
    <w:rsid w:val="000D600A"/>
    <w:rsid w:val="0016148B"/>
    <w:rsid w:val="00165ABF"/>
    <w:rsid w:val="00226290"/>
    <w:rsid w:val="002B359A"/>
    <w:rsid w:val="00316528"/>
    <w:rsid w:val="0036026C"/>
    <w:rsid w:val="00370942"/>
    <w:rsid w:val="00370D1A"/>
    <w:rsid w:val="00377642"/>
    <w:rsid w:val="00393398"/>
    <w:rsid w:val="003C6040"/>
    <w:rsid w:val="003F5D59"/>
    <w:rsid w:val="00405A4E"/>
    <w:rsid w:val="00494F82"/>
    <w:rsid w:val="004B6561"/>
    <w:rsid w:val="004B7427"/>
    <w:rsid w:val="004C273E"/>
    <w:rsid w:val="00543961"/>
    <w:rsid w:val="00543EC2"/>
    <w:rsid w:val="00560A8C"/>
    <w:rsid w:val="00597A86"/>
    <w:rsid w:val="005A4B24"/>
    <w:rsid w:val="005D2F9E"/>
    <w:rsid w:val="006338F0"/>
    <w:rsid w:val="00634393"/>
    <w:rsid w:val="006550D6"/>
    <w:rsid w:val="00696133"/>
    <w:rsid w:val="0069792F"/>
    <w:rsid w:val="006A5225"/>
    <w:rsid w:val="0070510A"/>
    <w:rsid w:val="00706815"/>
    <w:rsid w:val="0075127E"/>
    <w:rsid w:val="0076350C"/>
    <w:rsid w:val="00776940"/>
    <w:rsid w:val="007E020F"/>
    <w:rsid w:val="007F679A"/>
    <w:rsid w:val="00806D4F"/>
    <w:rsid w:val="008337F2"/>
    <w:rsid w:val="008852A7"/>
    <w:rsid w:val="00887DBE"/>
    <w:rsid w:val="008B3289"/>
    <w:rsid w:val="008B3500"/>
    <w:rsid w:val="008C6D85"/>
    <w:rsid w:val="008D4F9F"/>
    <w:rsid w:val="008D7900"/>
    <w:rsid w:val="008E1106"/>
    <w:rsid w:val="00951805"/>
    <w:rsid w:val="009769C1"/>
    <w:rsid w:val="009D3FD5"/>
    <w:rsid w:val="00A52906"/>
    <w:rsid w:val="00A96C22"/>
    <w:rsid w:val="00AA257E"/>
    <w:rsid w:val="00AC208A"/>
    <w:rsid w:val="00AD7219"/>
    <w:rsid w:val="00AE08CD"/>
    <w:rsid w:val="00B527D8"/>
    <w:rsid w:val="00C04D1C"/>
    <w:rsid w:val="00C05E02"/>
    <w:rsid w:val="00C06777"/>
    <w:rsid w:val="00C51B12"/>
    <w:rsid w:val="00C55CF9"/>
    <w:rsid w:val="00C86F1F"/>
    <w:rsid w:val="00CB3A07"/>
    <w:rsid w:val="00CE0969"/>
    <w:rsid w:val="00D06E52"/>
    <w:rsid w:val="00D14955"/>
    <w:rsid w:val="00D411E4"/>
    <w:rsid w:val="00DE7F60"/>
    <w:rsid w:val="00E51E2B"/>
    <w:rsid w:val="00EA664C"/>
    <w:rsid w:val="00EB25D5"/>
    <w:rsid w:val="00EB4E4F"/>
    <w:rsid w:val="00EB59B4"/>
    <w:rsid w:val="00EB7D46"/>
    <w:rsid w:val="00EE3F6A"/>
    <w:rsid w:val="00F66A26"/>
    <w:rsid w:val="00F97E47"/>
    <w:rsid w:val="00FA5250"/>
    <w:rsid w:val="00FB6750"/>
    <w:rsid w:val="00FC2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06"/>
    <w:rPr>
      <w:sz w:val="24"/>
      <w:szCs w:val="24"/>
    </w:rPr>
  </w:style>
  <w:style w:type="paragraph" w:styleId="Heading1">
    <w:name w:val="heading 1"/>
    <w:basedOn w:val="Normal"/>
    <w:next w:val="Normal"/>
    <w:qFormat/>
    <w:rsid w:val="00165ABF"/>
    <w:pPr>
      <w:keepNext/>
      <w:outlineLvl w:val="0"/>
    </w:pPr>
    <w:rPr>
      <w:b/>
      <w:smallCaps/>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rsid w:val="00165ABF"/>
    <w:rPr>
      <w:b/>
      <w:bCs/>
      <w:snapToGrid w:val="0"/>
      <w:szCs w:val="20"/>
    </w:rPr>
  </w:style>
  <w:style w:type="paragraph" w:styleId="Title">
    <w:name w:val="Title"/>
    <w:basedOn w:val="Normal"/>
    <w:qFormat/>
    <w:rsid w:val="00165ABF"/>
    <w:pPr>
      <w:jc w:val="center"/>
    </w:pPr>
    <w:rPr>
      <w:b/>
      <w:bCs/>
      <w:snapToGrid w:val="0"/>
      <w:szCs w:val="20"/>
    </w:rPr>
  </w:style>
  <w:style w:type="character" w:styleId="CommentReference">
    <w:name w:val="annotation reference"/>
    <w:basedOn w:val="DefaultParagraphFont"/>
    <w:semiHidden/>
    <w:rsid w:val="008C6D85"/>
    <w:rPr>
      <w:sz w:val="16"/>
      <w:szCs w:val="16"/>
    </w:rPr>
  </w:style>
  <w:style w:type="paragraph" w:styleId="CommentText">
    <w:name w:val="annotation text"/>
    <w:basedOn w:val="Normal"/>
    <w:semiHidden/>
    <w:rsid w:val="008C6D85"/>
    <w:rPr>
      <w:sz w:val="20"/>
      <w:szCs w:val="20"/>
    </w:rPr>
  </w:style>
  <w:style w:type="paragraph" w:styleId="CommentSubject">
    <w:name w:val="annotation subject"/>
    <w:basedOn w:val="CommentText"/>
    <w:next w:val="CommentText"/>
    <w:semiHidden/>
    <w:rsid w:val="008C6D85"/>
    <w:rPr>
      <w:b/>
      <w:bCs/>
    </w:rPr>
  </w:style>
  <w:style w:type="paragraph" w:styleId="BalloonText">
    <w:name w:val="Balloon Text"/>
    <w:basedOn w:val="Normal"/>
    <w:semiHidden/>
    <w:rsid w:val="008C6D85"/>
    <w:rPr>
      <w:rFonts w:ascii="Tahoma" w:hAnsi="Tahoma" w:cs="Tahoma"/>
      <w:sz w:val="16"/>
      <w:szCs w:val="16"/>
    </w:rPr>
  </w:style>
  <w:style w:type="paragraph" w:styleId="Header">
    <w:name w:val="header"/>
    <w:basedOn w:val="Normal"/>
    <w:rsid w:val="0016148B"/>
    <w:pPr>
      <w:tabs>
        <w:tab w:val="center" w:pos="4320"/>
        <w:tab w:val="right" w:pos="8640"/>
      </w:tabs>
    </w:pPr>
  </w:style>
  <w:style w:type="paragraph" w:styleId="Footer">
    <w:name w:val="footer"/>
    <w:basedOn w:val="Normal"/>
    <w:link w:val="FooterChar"/>
    <w:uiPriority w:val="99"/>
    <w:rsid w:val="0016148B"/>
    <w:pPr>
      <w:tabs>
        <w:tab w:val="center" w:pos="4320"/>
        <w:tab w:val="right" w:pos="8640"/>
      </w:tabs>
    </w:pPr>
  </w:style>
  <w:style w:type="character" w:styleId="PageNumber">
    <w:name w:val="page number"/>
    <w:basedOn w:val="DefaultParagraphFont"/>
    <w:rsid w:val="0016148B"/>
  </w:style>
  <w:style w:type="paragraph" w:customStyle="1" w:styleId="subsection">
    <w:name w:val="subsection"/>
    <w:basedOn w:val="Normal"/>
    <w:uiPriority w:val="99"/>
    <w:rsid w:val="00A52906"/>
    <w:pPr>
      <w:autoSpaceDE w:val="0"/>
      <w:autoSpaceDN w:val="0"/>
      <w:spacing w:before="60" w:after="60"/>
      <w:ind w:left="677" w:hanging="389"/>
      <w:jc w:val="both"/>
    </w:pPr>
    <w:rPr>
      <w:rFonts w:ascii="CG Times" w:hAnsi="CG Times" w:cs="CG Times"/>
      <w:sz w:val="22"/>
      <w:szCs w:val="22"/>
    </w:rPr>
  </w:style>
  <w:style w:type="paragraph" w:customStyle="1" w:styleId="paragraph">
    <w:name w:val="paragraph"/>
    <w:basedOn w:val="Normal"/>
    <w:uiPriority w:val="99"/>
    <w:rsid w:val="00A52906"/>
    <w:pPr>
      <w:autoSpaceDE w:val="0"/>
      <w:autoSpaceDN w:val="0"/>
      <w:spacing w:before="60" w:after="60"/>
      <w:ind w:left="1109" w:hanging="389"/>
      <w:jc w:val="both"/>
    </w:pPr>
    <w:rPr>
      <w:rFonts w:ascii="CG Times" w:hAnsi="CG Times" w:cs="CG Times"/>
      <w:sz w:val="22"/>
      <w:szCs w:val="22"/>
    </w:rPr>
  </w:style>
  <w:style w:type="paragraph" w:customStyle="1" w:styleId="Section3">
    <w:name w:val="Section3"/>
    <w:basedOn w:val="Normal"/>
    <w:uiPriority w:val="99"/>
    <w:rsid w:val="00A52906"/>
    <w:pPr>
      <w:keepNext/>
      <w:autoSpaceDE w:val="0"/>
      <w:autoSpaceDN w:val="0"/>
      <w:spacing w:before="120" w:after="120"/>
      <w:ind w:left="1210" w:hanging="1210"/>
      <w:jc w:val="both"/>
    </w:pPr>
    <w:rPr>
      <w:rFonts w:ascii="CG Times" w:hAnsi="CG Times" w:cs="CG Times"/>
      <w:b/>
      <w:bCs/>
    </w:rPr>
  </w:style>
  <w:style w:type="paragraph" w:styleId="ListParagraph">
    <w:name w:val="List Paragraph"/>
    <w:basedOn w:val="Normal"/>
    <w:uiPriority w:val="34"/>
    <w:qFormat/>
    <w:rsid w:val="00A96C22"/>
    <w:pPr>
      <w:ind w:left="720"/>
    </w:pPr>
  </w:style>
  <w:style w:type="character" w:customStyle="1" w:styleId="FooterChar">
    <w:name w:val="Footer Char"/>
    <w:basedOn w:val="DefaultParagraphFont"/>
    <w:link w:val="Footer"/>
    <w:uiPriority w:val="99"/>
    <w:rsid w:val="00A96C22"/>
    <w:rPr>
      <w:sz w:val="24"/>
      <w:szCs w:val="24"/>
    </w:rPr>
  </w:style>
  <w:style w:type="paragraph" w:customStyle="1" w:styleId="Section2">
    <w:name w:val="Section2"/>
    <w:basedOn w:val="Normal"/>
    <w:rsid w:val="003F5D59"/>
    <w:pPr>
      <w:keepNext/>
      <w:spacing w:before="120" w:after="120"/>
      <w:ind w:left="1094" w:hanging="1094"/>
      <w:jc w:val="both"/>
    </w:pPr>
    <w:rPr>
      <w:rFonts w:ascii="CG Times" w:hAnsi="CG Times"/>
      <w:b/>
      <w:szCs w:val="20"/>
    </w:rPr>
  </w:style>
  <w:style w:type="paragraph" w:customStyle="1" w:styleId="plaini">
    <w:name w:val="plaini"/>
    <w:basedOn w:val="Normal"/>
    <w:uiPriority w:val="99"/>
    <w:rsid w:val="003F5D59"/>
    <w:pPr>
      <w:spacing w:before="60" w:after="60"/>
      <w:ind w:left="288"/>
      <w:jc w:val="both"/>
    </w:pPr>
    <w:rPr>
      <w:rFonts w:ascii="CG Times" w:hAnsi="CG Times"/>
      <w:i/>
      <w:sz w:val="22"/>
      <w:szCs w:val="20"/>
    </w:rPr>
  </w:style>
  <w:style w:type="paragraph" w:customStyle="1" w:styleId="subparagraph">
    <w:name w:val="subparagraph"/>
    <w:basedOn w:val="Normal"/>
    <w:uiPriority w:val="99"/>
    <w:rsid w:val="003F5D59"/>
    <w:pPr>
      <w:spacing w:before="60" w:after="60"/>
      <w:ind w:left="1641" w:hanging="446"/>
      <w:jc w:val="both"/>
    </w:pPr>
    <w:rPr>
      <w:rFonts w:ascii="CG Times" w:hAnsi="CG Times"/>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Preparing for an Appeal Hearing</vt:lpstr>
    </vt:vector>
  </TitlesOfParts>
  <Company>Houston-Galveston Area Council</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 TANF Recruitment</dc:title>
  <dc:subject>Policy Statement - TANF Recruitment</dc:subject>
  <dc:creator>rogers</dc:creator>
  <cp:keywords>Policy Statement - TANF Recruitment</cp:keywords>
  <cp:lastModifiedBy>nguyend</cp:lastModifiedBy>
  <cp:revision>3</cp:revision>
  <cp:lastPrinted>2011-03-09T19:29:00Z</cp:lastPrinted>
  <dcterms:created xsi:type="dcterms:W3CDTF">2015-01-08T17:30:00Z</dcterms:created>
  <dcterms:modified xsi:type="dcterms:W3CDTF">2015-01-08T17:30:00Z</dcterms:modified>
  <cp:category>Letters and Forms</cp:category>
</cp:coreProperties>
</file>