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9E02" w14:textId="39B02B56" w:rsidR="0096341B" w:rsidRPr="006658E6" w:rsidRDefault="0085769D" w:rsidP="0085769D">
      <w:pPr>
        <w:jc w:val="center"/>
        <w:rPr>
          <w:rFonts w:cs="Times New Roman"/>
          <w:b/>
          <w:bCs/>
          <w:sz w:val="32"/>
          <w:szCs w:val="32"/>
        </w:rPr>
      </w:pPr>
      <w:r w:rsidRPr="006658E6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4415F629" wp14:editId="22F40A46">
            <wp:simplePos x="0" y="0"/>
            <wp:positionH relativeFrom="page">
              <wp:posOffset>6448425</wp:posOffset>
            </wp:positionH>
            <wp:positionV relativeFrom="paragraph">
              <wp:posOffset>-1423035</wp:posOffset>
            </wp:positionV>
            <wp:extent cx="1320317" cy="2449745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DDC10A5-E289-6549-AC6A-999916542E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DDC10A5-E289-6549-AC6A-999916542E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317" cy="244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8E6">
        <w:rPr>
          <w:rFonts w:cs="Times New Roman"/>
        </w:rPr>
        <w:br/>
      </w:r>
      <w:r w:rsidRPr="006658E6">
        <w:rPr>
          <w:rFonts w:cs="Times New Roman"/>
          <w:b/>
          <w:bCs/>
          <w:sz w:val="32"/>
          <w:szCs w:val="32"/>
        </w:rPr>
        <w:t>Trade Adjustment Assistance (TAA) Reversion 2021</w:t>
      </w:r>
      <w:r w:rsidR="00B61854">
        <w:rPr>
          <w:rFonts w:cs="Times New Roman"/>
          <w:b/>
          <w:bCs/>
          <w:sz w:val="32"/>
          <w:szCs w:val="32"/>
        </w:rPr>
        <w:t xml:space="preserve"> Desk Aid</w:t>
      </w:r>
    </w:p>
    <w:p w14:paraId="0259BC00" w14:textId="2E8DC9E3" w:rsidR="0096341B" w:rsidRPr="00257965" w:rsidRDefault="0085769D" w:rsidP="00257965">
      <w:pPr>
        <w:spacing w:after="120" w:line="240" w:lineRule="auto"/>
        <w:rPr>
          <w:rFonts w:cs="Times New Roman"/>
        </w:rPr>
      </w:pPr>
      <w:r w:rsidRPr="00257965">
        <w:rPr>
          <w:rFonts w:cs="Times New Roman"/>
        </w:rPr>
        <w:t>On July 1, 2021</w:t>
      </w:r>
      <w:r w:rsidR="006658E6" w:rsidRPr="00257965">
        <w:rPr>
          <w:rFonts w:cs="Times New Roman"/>
        </w:rPr>
        <w:t xml:space="preserve"> </w:t>
      </w:r>
      <w:r w:rsidRPr="00257965">
        <w:rPr>
          <w:rFonts w:cs="Times New Roman"/>
        </w:rPr>
        <w:t>TAA reverted to the Trade Adjustment Assistance Reauthorization Act (TAARA) of 2015, with some modifications.</w:t>
      </w:r>
      <w:r w:rsidR="006658E6" w:rsidRPr="00257965">
        <w:rPr>
          <w:rFonts w:cs="Times New Roman"/>
        </w:rPr>
        <w:t xml:space="preserve">  </w:t>
      </w:r>
      <w:r w:rsidR="0096341B" w:rsidRPr="00257965">
        <w:rPr>
          <w:rFonts w:cs="Times New Roman"/>
        </w:rPr>
        <w:t>Absent new legislation, the Reversion 2021 program will remain in effect until June 30, 2022.</w:t>
      </w:r>
    </w:p>
    <w:p w14:paraId="478DF67C" w14:textId="30FE89EB" w:rsidR="0096341B" w:rsidRPr="00257965" w:rsidRDefault="006658E6" w:rsidP="00257965">
      <w:pPr>
        <w:spacing w:after="120" w:line="240" w:lineRule="auto"/>
        <w:rPr>
          <w:rFonts w:cs="Times New Roman"/>
        </w:rPr>
      </w:pPr>
      <w:r w:rsidRPr="00257965">
        <w:rPr>
          <w:rFonts w:cs="Times New Roman"/>
        </w:rPr>
        <w:t xml:space="preserve">All petitions filed with the US Department of Labor (DOL) after July 1, 2021 will be assigned a petition number of </w:t>
      </w:r>
      <w:r w:rsidR="0096341B" w:rsidRPr="00257965">
        <w:rPr>
          <w:rFonts w:cs="Times New Roman"/>
        </w:rPr>
        <w:t>98,000</w:t>
      </w:r>
      <w:r w:rsidR="004E1A1F" w:rsidRPr="00257965">
        <w:rPr>
          <w:rFonts w:cs="Times New Roman"/>
        </w:rPr>
        <w:t xml:space="preserve"> </w:t>
      </w:r>
      <w:r w:rsidRPr="00257965">
        <w:rPr>
          <w:rFonts w:cs="Times New Roman"/>
        </w:rPr>
        <w:t>or</w:t>
      </w:r>
      <w:r w:rsidR="004E1A1F" w:rsidRPr="00257965">
        <w:rPr>
          <w:rFonts w:cs="Times New Roman"/>
        </w:rPr>
        <w:t xml:space="preserve"> above</w:t>
      </w:r>
      <w:r w:rsidRPr="00257965">
        <w:rPr>
          <w:rFonts w:cs="Times New Roman"/>
        </w:rPr>
        <w:t>.</w:t>
      </w:r>
    </w:p>
    <w:p w14:paraId="2C35CC84" w14:textId="417AB89D" w:rsidR="0096341B" w:rsidRPr="00257965" w:rsidRDefault="006658E6" w:rsidP="00DB636D">
      <w:pPr>
        <w:spacing w:after="120" w:line="20" w:lineRule="atLeast"/>
        <w:rPr>
          <w:rFonts w:cs="Times New Roman"/>
          <w:b/>
          <w:bCs/>
        </w:rPr>
      </w:pPr>
      <w:r w:rsidRPr="00257965">
        <w:rPr>
          <w:rFonts w:cs="Times New Roman"/>
          <w:b/>
          <w:bCs/>
        </w:rPr>
        <w:t>Our Process</w:t>
      </w:r>
    </w:p>
    <w:p w14:paraId="12A1AF18" w14:textId="17D7B3E3" w:rsidR="00EF25B6" w:rsidRPr="00257965" w:rsidRDefault="00EF25B6" w:rsidP="00EF25B6">
      <w:pPr>
        <w:pStyle w:val="ListParagraph"/>
        <w:numPr>
          <w:ilvl w:val="0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Merit staff at the Support Center will </w:t>
      </w:r>
      <w:r>
        <w:rPr>
          <w:rFonts w:ascii="Times New Roman" w:eastAsia="Times New Roman" w:hAnsi="Times New Roman" w:cs="Times New Roman"/>
          <w:sz w:val="24"/>
          <w:szCs w:val="24"/>
        </w:rPr>
        <w:t>receive a list of affected workers f</w:t>
      </w:r>
      <w:r w:rsidR="007638A9"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z w:val="24"/>
          <w:szCs w:val="24"/>
        </w:rPr>
        <w:t>m the Trade Service</w:t>
      </w:r>
      <w:r w:rsidR="00055E6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E67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nit.  They will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reach out to affected customers via phone and email.  Customers who respond to merit staff will be routed to a Career Advisor in a career office.  Career Advisors will schedule an appointment with the customer via Appointy </w:t>
      </w:r>
      <w:r w:rsidRPr="00257965">
        <w:rPr>
          <w:rFonts w:ascii="Times New Roman" w:eastAsia="Times New Roman" w:hAnsi="Times New Roman" w:cs="Times New Roman"/>
          <w:b/>
          <w:bCs/>
          <w:sz w:val="24"/>
          <w:szCs w:val="24"/>
        </w:rPr>
        <w:t>as soon as possible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EFE294" w14:textId="056C50E1" w:rsidR="0096341B" w:rsidRPr="00257965" w:rsidRDefault="006658E6" w:rsidP="00DB636D">
      <w:pPr>
        <w:pStyle w:val="ListParagraph"/>
        <w:numPr>
          <w:ilvl w:val="0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Career Advisors 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>will conduct an orientation, ensuring they address the following:</w:t>
      </w:r>
    </w:p>
    <w:p w14:paraId="3BD40EB9" w14:textId="14C25405" w:rsidR="0096341B" w:rsidRDefault="0096341B" w:rsidP="00DB636D">
      <w:pPr>
        <w:pStyle w:val="ListParagraph"/>
        <w:numPr>
          <w:ilvl w:val="1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The waiver deadline is </w:t>
      </w:r>
      <w:r w:rsidRPr="00257965">
        <w:rPr>
          <w:rFonts w:ascii="Times New Roman" w:eastAsia="Times New Roman" w:hAnsi="Times New Roman" w:cs="Times New Roman"/>
          <w:b/>
          <w:bCs/>
          <w:sz w:val="24"/>
          <w:szCs w:val="24"/>
        </w:rPr>
        <w:t>10/30/2021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not 03/</w:t>
      </w:r>
      <w:r w:rsidR="006740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5/2022.  There is a 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 xml:space="preserve">counselor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note that reflects the 10/30/2021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 xml:space="preserve"> deadline,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but the place where the deadline typically is</w:t>
      </w:r>
      <w:r w:rsidR="00D918C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shows 03/</w:t>
      </w:r>
      <w:r w:rsidR="0067405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5/2022.</w:t>
      </w:r>
    </w:p>
    <w:p w14:paraId="26B07D62" w14:textId="544E4E59" w:rsidR="009960E4" w:rsidRDefault="00547C2B" w:rsidP="00547C2B">
      <w:pPr>
        <w:pStyle w:val="ListParagraph"/>
        <w:spacing w:after="120" w:line="20" w:lineRule="atLeast"/>
        <w:ind w:left="1440"/>
      </w:pPr>
      <w:r>
        <w:rPr>
          <w:noProof/>
        </w:rPr>
        <w:drawing>
          <wp:inline distT="0" distB="0" distL="0" distR="0" wp14:anchorId="1FCFD268" wp14:editId="711F0E81">
            <wp:extent cx="2609850" cy="20315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785" cy="20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60E4" w:rsidRPr="009960E4">
        <w:t xml:space="preserve"> </w:t>
      </w:r>
    </w:p>
    <w:p w14:paraId="5B2083FF" w14:textId="77777777" w:rsidR="009960E4" w:rsidRDefault="009960E4" w:rsidP="00547C2B">
      <w:pPr>
        <w:pStyle w:val="ListParagraph"/>
        <w:spacing w:after="120" w:line="20" w:lineRule="atLeast"/>
        <w:ind w:left="1440"/>
      </w:pPr>
    </w:p>
    <w:p w14:paraId="597487E0" w14:textId="26C6762E" w:rsidR="00547C2B" w:rsidRPr="00257965" w:rsidRDefault="009960E4" w:rsidP="00547C2B">
      <w:pPr>
        <w:pStyle w:val="ListParagraph"/>
        <w:spacing w:after="120" w:line="20" w:lineRule="atLeast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87C359" wp14:editId="6D529D4A">
            <wp:extent cx="4657590" cy="206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615" cy="210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A992" w14:textId="328061CF" w:rsidR="0096341B" w:rsidRPr="00257965" w:rsidRDefault="0096341B" w:rsidP="00DB636D">
      <w:pPr>
        <w:pStyle w:val="ListParagraph"/>
        <w:numPr>
          <w:ilvl w:val="1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TRA application is in the packet mailed to the customer and needs to be completed and scanned into 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ocu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are as soon as staff meet with 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customer.  Merit staff will forward 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to Trade Services</w:t>
      </w:r>
      <w:r w:rsidR="00055E67">
        <w:rPr>
          <w:rFonts w:ascii="Times New Roman" w:eastAsia="Times New Roman" w:hAnsi="Times New Roman" w:cs="Times New Roman"/>
          <w:sz w:val="24"/>
          <w:szCs w:val="24"/>
        </w:rPr>
        <w:t xml:space="preserve"> Unit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7221F" w14:textId="3A31A74F" w:rsidR="0096341B" w:rsidRPr="00257965" w:rsidRDefault="0096341B" w:rsidP="00DB636D">
      <w:pPr>
        <w:pStyle w:val="ListParagraph"/>
        <w:numPr>
          <w:ilvl w:val="1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>If the customer decline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the initial assessment or TRA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 xml:space="preserve">staff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must 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 xml:space="preserve">explain to the customer and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documen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in TWIST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 xml:space="preserve">, their declination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will impact the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eligibility for future TRA payments.</w:t>
      </w:r>
    </w:p>
    <w:p w14:paraId="73350887" w14:textId="60293EC4" w:rsidR="0096341B" w:rsidRPr="00257965" w:rsidRDefault="004E5B93" w:rsidP="00DB636D">
      <w:pPr>
        <w:pStyle w:val="ListParagraph"/>
        <w:numPr>
          <w:ilvl w:val="1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Staff </w:t>
      </w:r>
      <w:r w:rsidRPr="004F5789"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 xml:space="preserve">ffer co-enrollment into 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 xml:space="preserve">WIOA 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>Dislocated Worker.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 xml:space="preserve">If the customer declines, they must sign the co-enrollment declination form </w:t>
      </w:r>
      <w:r w:rsidR="0085769D" w:rsidRPr="00257965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2" w:history="1">
        <w:r w:rsidR="0085769D" w:rsidRPr="0025796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https://www.wrksolutions.com/Documents/Staff/tradeact/TAA-Coenrollment-Declination-Form.docx</w:t>
        </w:r>
      </w:hyperlink>
      <w:r w:rsidR="0085769D" w:rsidRPr="0025796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>and staff must document the declination in counselor notes.</w:t>
      </w:r>
    </w:p>
    <w:p w14:paraId="02C9A9DD" w14:textId="07EEE0CF" w:rsidR="00386B54" w:rsidRDefault="00CD26A3" w:rsidP="00DB636D">
      <w:pPr>
        <w:pStyle w:val="ListParagraph"/>
        <w:numPr>
          <w:ilvl w:val="1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4474C6">
        <w:rPr>
          <w:rFonts w:ascii="Times New Roman" w:eastAsia="Times New Roman" w:hAnsi="Times New Roman" w:cs="Times New Roman"/>
          <w:sz w:val="24"/>
          <w:szCs w:val="24"/>
        </w:rPr>
        <w:t>Reversion 2021 customers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>OJT and Apprenticeships (work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>-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>base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28CC">
        <w:rPr>
          <w:rFonts w:ascii="Times New Roman" w:eastAsia="Times New Roman" w:hAnsi="Times New Roman" w:cs="Times New Roman"/>
          <w:sz w:val="24"/>
          <w:szCs w:val="24"/>
        </w:rPr>
        <w:t xml:space="preserve"> learning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 xml:space="preserve">) are the preferred </w:t>
      </w:r>
      <w:r w:rsidR="006658E6" w:rsidRPr="00257965">
        <w:rPr>
          <w:rFonts w:ascii="Times New Roman" w:eastAsia="Times New Roman" w:hAnsi="Times New Roman" w:cs="Times New Roman"/>
          <w:sz w:val="24"/>
          <w:szCs w:val="24"/>
        </w:rPr>
        <w:t xml:space="preserve">method of training 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 xml:space="preserve"> traditional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 xml:space="preserve"> classroom training.</w:t>
      </w:r>
      <w:r w:rsidR="004E5B93" w:rsidRPr="00257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EB84A" w14:textId="3593E2C9" w:rsidR="00B46A39" w:rsidRPr="00257965" w:rsidRDefault="00B46A39" w:rsidP="00B46A39">
      <w:pPr>
        <w:pStyle w:val="ListParagraph"/>
        <w:numPr>
          <w:ilvl w:val="2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>Staff will need to explore OJT/Apprenticeship program</w:t>
      </w:r>
      <w:r w:rsidR="001C6A1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CF8">
        <w:rPr>
          <w:rFonts w:ascii="Times New Roman" w:eastAsia="Times New Roman" w:hAnsi="Times New Roman" w:cs="Times New Roman"/>
          <w:sz w:val="24"/>
          <w:szCs w:val="24"/>
        </w:rPr>
        <w:t>before</w:t>
      </w:r>
      <w:r w:rsidR="000F08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8CB" w:rsidRPr="00257965">
        <w:rPr>
          <w:rFonts w:ascii="Times New Roman" w:eastAsia="Times New Roman" w:hAnsi="Times New Roman" w:cs="Times New Roman"/>
          <w:sz w:val="24"/>
          <w:szCs w:val="24"/>
        </w:rPr>
        <w:t>traditional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classroom training. Staff should: </w:t>
      </w:r>
    </w:p>
    <w:p w14:paraId="1EC0A835" w14:textId="16EF87CB" w:rsidR="00B46A39" w:rsidRPr="00257965" w:rsidRDefault="00B46A39" w:rsidP="00B46A39">
      <w:pPr>
        <w:pStyle w:val="ListParagraph"/>
        <w:numPr>
          <w:ilvl w:val="3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>Keep the occupational goal in mind</w:t>
      </w:r>
      <w:r w:rsidR="000F08CB">
        <w:rPr>
          <w:rFonts w:ascii="Times New Roman" w:eastAsia="Times New Roman" w:hAnsi="Times New Roman" w:cs="Times New Roman"/>
          <w:sz w:val="24"/>
          <w:szCs w:val="24"/>
        </w:rPr>
        <w:t>, and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01AB01" w14:textId="14F2408F" w:rsidR="00B46A39" w:rsidRPr="00DB636D" w:rsidRDefault="00B46A39" w:rsidP="00B46A39">
      <w:pPr>
        <w:pStyle w:val="ListParagraph"/>
        <w:numPr>
          <w:ilvl w:val="3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>Consider LMI</w:t>
      </w:r>
      <w:r w:rsidR="0020338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what jobs are available</w:t>
      </w:r>
      <w:r w:rsidR="00203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and what employers need </w:t>
      </w:r>
    </w:p>
    <w:p w14:paraId="69DCB8EF" w14:textId="5F3F6C63" w:rsidR="009C5272" w:rsidRDefault="009C5272" w:rsidP="006D35C3">
      <w:pPr>
        <w:pStyle w:val="ListParagraph"/>
        <w:numPr>
          <w:ilvl w:val="2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Staff can use the following resources to identify </w:t>
      </w:r>
      <w:r w:rsidR="0021047B">
        <w:rPr>
          <w:rFonts w:ascii="Times New Roman" w:eastAsia="Times New Roman" w:hAnsi="Times New Roman" w:cs="Times New Roman"/>
          <w:sz w:val="24"/>
          <w:szCs w:val="24"/>
        </w:rPr>
        <w:t xml:space="preserve">available </w:t>
      </w:r>
      <w:r w:rsidR="0021047B" w:rsidRPr="00257965">
        <w:rPr>
          <w:rFonts w:ascii="Times New Roman" w:eastAsia="Times New Roman" w:hAnsi="Times New Roman" w:cs="Times New Roman"/>
          <w:sz w:val="24"/>
          <w:szCs w:val="24"/>
        </w:rPr>
        <w:t>OJT and Apprenticeship programs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FF4F955" w14:textId="5037AFB1" w:rsidR="0085769D" w:rsidRPr="005F1E1A" w:rsidRDefault="004E5B93" w:rsidP="005F1E1A">
      <w:pPr>
        <w:pStyle w:val="ListParagraph"/>
        <w:numPr>
          <w:ilvl w:val="3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12EEB">
        <w:rPr>
          <w:rFonts w:ascii="Times New Roman" w:eastAsia="Times New Roman" w:hAnsi="Times New Roman" w:cs="Times New Roman"/>
          <w:sz w:val="24"/>
          <w:szCs w:val="24"/>
        </w:rPr>
        <w:t>LMI report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sent by ETC</w:t>
      </w:r>
      <w:r w:rsidR="00CD26A3" w:rsidRPr="00257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CD26A3" w:rsidRPr="00257965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current OJT and Apprenticeship programs with employers in our region. </w:t>
      </w:r>
    </w:p>
    <w:p w14:paraId="1A0BEA7E" w14:textId="2D5E0B60" w:rsidR="005F1E1A" w:rsidRDefault="009D34F0" w:rsidP="005F1E1A">
      <w:pPr>
        <w:pStyle w:val="ListParagraph"/>
        <w:numPr>
          <w:ilvl w:val="3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34F0">
        <w:rPr>
          <w:rFonts w:ascii="Times New Roman" w:eastAsia="Times New Roman" w:hAnsi="Times New Roman" w:cs="Times New Roman"/>
          <w:sz w:val="24"/>
          <w:szCs w:val="24"/>
        </w:rPr>
        <w:t> DOL website</w:t>
      </w:r>
      <w:r w:rsidR="00EF002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D34F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tgtFrame="_blank" w:tooltip="https://www.apprenticeship.gov/career-seekers" w:history="1">
        <w:r w:rsidRPr="009D34F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https://www.apprenticeship.gov/career-seekers</w:t>
        </w:r>
      </w:hyperlink>
      <w:r w:rsidRPr="009D34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2751C3" w14:textId="77777777" w:rsidR="00464D49" w:rsidRDefault="0096341B" w:rsidP="00730A6F">
      <w:pPr>
        <w:pStyle w:val="ListParagraph"/>
        <w:numPr>
          <w:ilvl w:val="2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3894360"/>
      <w:r w:rsidRPr="00257965">
        <w:rPr>
          <w:rFonts w:ascii="Times New Roman" w:eastAsia="Times New Roman" w:hAnsi="Times New Roman" w:cs="Times New Roman"/>
          <w:sz w:val="24"/>
          <w:szCs w:val="24"/>
        </w:rPr>
        <w:t>If the</w:t>
      </w:r>
      <w:r w:rsidR="00CD26A3" w:rsidRPr="00257965">
        <w:rPr>
          <w:rFonts w:ascii="Times New Roman" w:eastAsia="Times New Roman" w:hAnsi="Times New Roman" w:cs="Times New Roman"/>
          <w:sz w:val="24"/>
          <w:szCs w:val="24"/>
        </w:rPr>
        <w:t xml:space="preserve"> customer requests a classroom training, but an 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OJT/Apprenticeship program </w:t>
      </w:r>
      <w:r w:rsidR="00CD26A3" w:rsidRPr="00257965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 more suitable for the customer</w:t>
      </w:r>
      <w:r w:rsidR="00C313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bookmarkEnd w:id="0"/>
    <w:p w14:paraId="0A0878CE" w14:textId="6DC3ED96" w:rsidR="00593AF9" w:rsidRDefault="00A93CF0" w:rsidP="005157F1">
      <w:pPr>
        <w:pStyle w:val="ListParagraph"/>
        <w:numPr>
          <w:ilvl w:val="3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D26A3" w:rsidRPr="00257965">
        <w:rPr>
          <w:rFonts w:ascii="Times New Roman" w:eastAsia="Times New Roman" w:hAnsi="Times New Roman" w:cs="Times New Roman"/>
          <w:sz w:val="24"/>
          <w:szCs w:val="24"/>
        </w:rPr>
        <w:t>taff</w:t>
      </w:r>
      <w:r w:rsidR="0096341B" w:rsidRPr="00257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AF9">
        <w:rPr>
          <w:rFonts w:ascii="Times New Roman" w:eastAsia="Times New Roman" w:hAnsi="Times New Roman" w:cs="Times New Roman"/>
          <w:sz w:val="24"/>
          <w:szCs w:val="24"/>
        </w:rPr>
        <w:t>must:</w:t>
      </w:r>
    </w:p>
    <w:p w14:paraId="37C0BB87" w14:textId="3E3A5612" w:rsidR="00310A39" w:rsidRDefault="0096341B" w:rsidP="005157F1">
      <w:pPr>
        <w:pStyle w:val="ListParagraph"/>
        <w:numPr>
          <w:ilvl w:val="4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>recommend denial for the customer’s request for classroom training</w:t>
      </w:r>
      <w:r w:rsidR="00310A39">
        <w:rPr>
          <w:rFonts w:ascii="Times New Roman" w:eastAsia="Times New Roman" w:hAnsi="Times New Roman" w:cs="Times New Roman"/>
          <w:sz w:val="24"/>
          <w:szCs w:val="24"/>
        </w:rPr>
        <w:t xml:space="preserve">; and </w:t>
      </w:r>
    </w:p>
    <w:p w14:paraId="58A36D3D" w14:textId="7EE5B013" w:rsidR="00310A39" w:rsidRDefault="00310A39" w:rsidP="005157F1">
      <w:pPr>
        <w:pStyle w:val="ListParagraph"/>
        <w:numPr>
          <w:ilvl w:val="4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document in a TWIST </w:t>
      </w:r>
      <w:r w:rsidR="00035D93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ounselor </w:t>
      </w:r>
      <w:r w:rsidR="00035D93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 the reason</w:t>
      </w:r>
      <w:r w:rsidR="00B4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B9A">
        <w:rPr>
          <w:rFonts w:ascii="Times New Roman" w:eastAsia="Times New Roman" w:hAnsi="Times New Roman" w:cs="Times New Roman"/>
          <w:sz w:val="24"/>
          <w:szCs w:val="24"/>
        </w:rPr>
        <w:t>for denial</w:t>
      </w:r>
      <w:r w:rsidR="006B7B3C">
        <w:rPr>
          <w:rFonts w:ascii="Times New Roman" w:eastAsia="Times New Roman" w:hAnsi="Times New Roman" w:cs="Times New Roman"/>
          <w:sz w:val="24"/>
          <w:szCs w:val="24"/>
        </w:rPr>
        <w:t>. Staff must include supporting documentation</w:t>
      </w:r>
      <w:r w:rsidR="000601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0DF58A" w14:textId="2B9AE792" w:rsidR="0096341B" w:rsidRDefault="006B7B3C" w:rsidP="005157F1">
      <w:pPr>
        <w:pStyle w:val="ListParagraph"/>
        <w:numPr>
          <w:ilvl w:val="3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157F1">
        <w:rPr>
          <w:rFonts w:ascii="Times New Roman" w:eastAsia="Times New Roman" w:hAnsi="Times New Roman" w:cs="Times New Roman"/>
          <w:sz w:val="24"/>
          <w:szCs w:val="24"/>
        </w:rPr>
        <w:t>M</w:t>
      </w:r>
      <w:r w:rsidR="00CD26A3" w:rsidRPr="005157F1">
        <w:rPr>
          <w:rFonts w:ascii="Times New Roman" w:eastAsia="Times New Roman" w:hAnsi="Times New Roman" w:cs="Times New Roman"/>
          <w:sz w:val="24"/>
          <w:szCs w:val="24"/>
        </w:rPr>
        <w:t xml:space="preserve">erit staff will </w:t>
      </w:r>
      <w:r w:rsidR="0096341B" w:rsidRPr="005157F1">
        <w:rPr>
          <w:rFonts w:ascii="Times New Roman" w:eastAsia="Times New Roman" w:hAnsi="Times New Roman" w:cs="Times New Roman"/>
          <w:sz w:val="24"/>
          <w:szCs w:val="24"/>
        </w:rPr>
        <w:t xml:space="preserve">submit </w:t>
      </w:r>
      <w:r w:rsidR="009504DB">
        <w:rPr>
          <w:rFonts w:ascii="Times New Roman" w:eastAsia="Times New Roman" w:hAnsi="Times New Roman" w:cs="Times New Roman"/>
          <w:sz w:val="24"/>
          <w:szCs w:val="24"/>
        </w:rPr>
        <w:t xml:space="preserve">the recommendation </w:t>
      </w:r>
      <w:r w:rsidR="0096341B" w:rsidRPr="005157F1">
        <w:rPr>
          <w:rFonts w:ascii="Times New Roman" w:eastAsia="Times New Roman" w:hAnsi="Times New Roman" w:cs="Times New Roman"/>
          <w:sz w:val="24"/>
          <w:szCs w:val="24"/>
        </w:rPr>
        <w:t>to Trade Services for final determination.</w:t>
      </w:r>
    </w:p>
    <w:p w14:paraId="3FBC9254" w14:textId="3E8A1A2D" w:rsidR="00E03AC4" w:rsidRDefault="00E03AC4" w:rsidP="00E03AC4">
      <w:pPr>
        <w:pStyle w:val="ListParagraph"/>
        <w:numPr>
          <w:ilvl w:val="2"/>
          <w:numId w:val="1"/>
        </w:numPr>
        <w:spacing w:after="12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57965">
        <w:rPr>
          <w:rFonts w:ascii="Times New Roman" w:eastAsia="Times New Roman" w:hAnsi="Times New Roman" w:cs="Times New Roman"/>
          <w:sz w:val="24"/>
          <w:szCs w:val="24"/>
        </w:rPr>
        <w:t xml:space="preserve">If the customer requests a classroom training, but an OJT/Apprenticeship program is </w:t>
      </w:r>
      <w:r>
        <w:rPr>
          <w:rFonts w:ascii="Times New Roman" w:eastAsia="Times New Roman" w:hAnsi="Times New Roman" w:cs="Times New Roman"/>
          <w:sz w:val="24"/>
          <w:szCs w:val="24"/>
        </w:rPr>
        <w:t>not ava</w:t>
      </w:r>
      <w:r w:rsidR="003809F1">
        <w:rPr>
          <w:rFonts w:ascii="Times New Roman" w:eastAsia="Times New Roman" w:hAnsi="Times New Roman" w:cs="Times New Roman"/>
          <w:sz w:val="24"/>
          <w:szCs w:val="24"/>
        </w:rPr>
        <w:t>ilable</w:t>
      </w:r>
      <w:r w:rsidR="00587B9A">
        <w:rPr>
          <w:rFonts w:ascii="Times New Roman" w:eastAsia="Times New Roman" w:hAnsi="Times New Roman" w:cs="Times New Roman"/>
          <w:sz w:val="24"/>
          <w:szCs w:val="24"/>
        </w:rPr>
        <w:t xml:space="preserve"> for their occupation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16393">
        <w:rPr>
          <w:rFonts w:ascii="Times New Roman" w:eastAsia="Times New Roman" w:hAnsi="Times New Roman" w:cs="Times New Roman"/>
          <w:sz w:val="24"/>
          <w:szCs w:val="24"/>
        </w:rPr>
        <w:t xml:space="preserve"> staff </w:t>
      </w:r>
      <w:r w:rsidR="0006015E">
        <w:rPr>
          <w:rFonts w:ascii="Times New Roman" w:eastAsia="Times New Roman" w:hAnsi="Times New Roman" w:cs="Times New Roman"/>
          <w:sz w:val="24"/>
          <w:szCs w:val="24"/>
        </w:rPr>
        <w:t>should work with t</w:t>
      </w:r>
      <w:r w:rsidR="00DA0D76">
        <w:rPr>
          <w:rFonts w:ascii="Times New Roman" w:eastAsia="Times New Roman" w:hAnsi="Times New Roman" w:cs="Times New Roman"/>
          <w:sz w:val="24"/>
          <w:szCs w:val="24"/>
        </w:rPr>
        <w:t>he customer to enroll in the classroom training</w:t>
      </w:r>
      <w:r w:rsidR="00D75686">
        <w:rPr>
          <w:rFonts w:ascii="Times New Roman" w:eastAsia="Times New Roman" w:hAnsi="Times New Roman" w:cs="Times New Roman"/>
          <w:sz w:val="24"/>
          <w:szCs w:val="24"/>
        </w:rPr>
        <w:t xml:space="preserve">, as appropriate. </w:t>
      </w:r>
    </w:p>
    <w:sectPr w:rsidR="00E03AC4" w:rsidSect="00DB63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898AD" w14:textId="77777777" w:rsidR="000E5A58" w:rsidRDefault="000E5A58" w:rsidP="0085769D">
      <w:pPr>
        <w:spacing w:after="0" w:line="240" w:lineRule="auto"/>
      </w:pPr>
      <w:r>
        <w:separator/>
      </w:r>
    </w:p>
  </w:endnote>
  <w:endnote w:type="continuationSeparator" w:id="0">
    <w:p w14:paraId="264C9CDB" w14:textId="77777777" w:rsidR="000E5A58" w:rsidRDefault="000E5A58" w:rsidP="0085769D">
      <w:pPr>
        <w:spacing w:after="0" w:line="240" w:lineRule="auto"/>
      </w:pPr>
      <w:r>
        <w:continuationSeparator/>
      </w:r>
    </w:p>
  </w:endnote>
  <w:endnote w:type="continuationNotice" w:id="1">
    <w:p w14:paraId="46FA7AA4" w14:textId="77777777" w:rsidR="000E5A58" w:rsidRDefault="000E5A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FEE88" w14:textId="77777777" w:rsidR="00C5358A" w:rsidRDefault="00C53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96069" w14:textId="4E161D32" w:rsidR="00D60968" w:rsidRPr="00D60968" w:rsidRDefault="00D60968">
    <w:pPr>
      <w:pStyle w:val="Footer"/>
    </w:pPr>
    <w:r w:rsidRPr="00D60968">
      <w:rPr>
        <w:rFonts w:cs="Times New Roman"/>
      </w:rPr>
      <w:t>Trade Adjustment Assistance (TAA) Reversion 2021 Desk Aid</w:t>
    </w:r>
    <w:r w:rsidR="00C5358A">
      <w:rPr>
        <w:rFonts w:cs="Times New Roman"/>
      </w:rPr>
      <w:t xml:space="preserve"> </w:t>
    </w:r>
    <w:r w:rsidR="00C5358A">
      <w:rPr>
        <w:rFonts w:cs="Times New Roman"/>
      </w:rPr>
      <w:tab/>
      <w:t>October 2021</w:t>
    </w:r>
    <w:r>
      <w:rPr>
        <w:rFonts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67EA" w14:textId="77777777" w:rsidR="00145112" w:rsidRPr="00D60968" w:rsidRDefault="00145112" w:rsidP="00145112">
    <w:pPr>
      <w:pStyle w:val="Footer"/>
    </w:pPr>
    <w:r w:rsidRPr="00D60968">
      <w:rPr>
        <w:rFonts w:cs="Times New Roman"/>
      </w:rPr>
      <w:t>Trade Adjustment Assistance (TAA) Reversion 2021 Desk Aid</w:t>
    </w:r>
    <w:r>
      <w:rPr>
        <w:rFonts w:cs="Times New Roman"/>
      </w:rPr>
      <w:t xml:space="preserve"> </w:t>
    </w:r>
    <w:r>
      <w:rPr>
        <w:rFonts w:cs="Times New Roman"/>
      </w:rPr>
      <w:tab/>
      <w:t>October 2021</w:t>
    </w:r>
    <w:r>
      <w:rPr>
        <w:rFonts w:cs="Times New Roman"/>
      </w:rPr>
      <w:tab/>
    </w:r>
  </w:p>
  <w:p w14:paraId="2D856507" w14:textId="68EC5151" w:rsidR="00C5358A" w:rsidRDefault="00145112" w:rsidP="00145112">
    <w:pPr>
      <w:pStyle w:val="Footer"/>
      <w:tabs>
        <w:tab w:val="clear" w:pos="4680"/>
        <w:tab w:val="clear" w:pos="9360"/>
        <w:tab w:val="left" w:pos="62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D247B" w14:textId="77777777" w:rsidR="000E5A58" w:rsidRDefault="000E5A58" w:rsidP="0085769D">
      <w:pPr>
        <w:spacing w:after="0" w:line="240" w:lineRule="auto"/>
      </w:pPr>
      <w:r>
        <w:separator/>
      </w:r>
    </w:p>
  </w:footnote>
  <w:footnote w:type="continuationSeparator" w:id="0">
    <w:p w14:paraId="49FF1F8D" w14:textId="77777777" w:rsidR="000E5A58" w:rsidRDefault="000E5A58" w:rsidP="0085769D">
      <w:pPr>
        <w:spacing w:after="0" w:line="240" w:lineRule="auto"/>
      </w:pPr>
      <w:r>
        <w:continuationSeparator/>
      </w:r>
    </w:p>
  </w:footnote>
  <w:footnote w:type="continuationNotice" w:id="1">
    <w:p w14:paraId="15841178" w14:textId="77777777" w:rsidR="000E5A58" w:rsidRDefault="000E5A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0F454" w14:textId="77777777" w:rsidR="00C5358A" w:rsidRDefault="00C53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AEA6A" w14:textId="6412D9CB" w:rsidR="0085769D" w:rsidRDefault="0085769D" w:rsidP="0085769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B06A" w14:textId="423A3F26" w:rsidR="00DB636D" w:rsidRDefault="00DB636D" w:rsidP="00DB636D">
    <w:pPr>
      <w:pStyle w:val="Header"/>
      <w:jc w:val="center"/>
    </w:pPr>
    <w:r w:rsidRPr="00F5163F">
      <w:rPr>
        <w:noProof/>
      </w:rPr>
      <w:drawing>
        <wp:inline distT="0" distB="0" distL="0" distR="0" wp14:anchorId="4F957F0D" wp14:editId="3538054B">
          <wp:extent cx="2371725" cy="561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AF3"/>
    <w:multiLevelType w:val="hybridMultilevel"/>
    <w:tmpl w:val="808AD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1B"/>
    <w:rsid w:val="00035D93"/>
    <w:rsid w:val="00055E67"/>
    <w:rsid w:val="0006015E"/>
    <w:rsid w:val="000C2FF8"/>
    <w:rsid w:val="000E5A58"/>
    <w:rsid w:val="000F08CB"/>
    <w:rsid w:val="001154EA"/>
    <w:rsid w:val="00117707"/>
    <w:rsid w:val="001323B4"/>
    <w:rsid w:val="00145112"/>
    <w:rsid w:val="00185739"/>
    <w:rsid w:val="001C6A17"/>
    <w:rsid w:val="0020338B"/>
    <w:rsid w:val="0021047B"/>
    <w:rsid w:val="00257965"/>
    <w:rsid w:val="00287677"/>
    <w:rsid w:val="002A4006"/>
    <w:rsid w:val="002B325B"/>
    <w:rsid w:val="002D5514"/>
    <w:rsid w:val="00310A39"/>
    <w:rsid w:val="00316393"/>
    <w:rsid w:val="003809F1"/>
    <w:rsid w:val="00386B54"/>
    <w:rsid w:val="003C4F4B"/>
    <w:rsid w:val="00412EEB"/>
    <w:rsid w:val="004474C6"/>
    <w:rsid w:val="00464D49"/>
    <w:rsid w:val="00466FB8"/>
    <w:rsid w:val="00482698"/>
    <w:rsid w:val="004D3887"/>
    <w:rsid w:val="004E1A1F"/>
    <w:rsid w:val="004E34DF"/>
    <w:rsid w:val="004E5B93"/>
    <w:rsid w:val="004F5789"/>
    <w:rsid w:val="005157F1"/>
    <w:rsid w:val="00547C2B"/>
    <w:rsid w:val="00587B9A"/>
    <w:rsid w:val="00593AF9"/>
    <w:rsid w:val="005B2E8C"/>
    <w:rsid w:val="005F1E1A"/>
    <w:rsid w:val="00604D74"/>
    <w:rsid w:val="006128CC"/>
    <w:rsid w:val="006658E6"/>
    <w:rsid w:val="00667969"/>
    <w:rsid w:val="0067405F"/>
    <w:rsid w:val="0069366C"/>
    <w:rsid w:val="006B7B3C"/>
    <w:rsid w:val="006D35C3"/>
    <w:rsid w:val="006F193B"/>
    <w:rsid w:val="00730A6F"/>
    <w:rsid w:val="00741488"/>
    <w:rsid w:val="007638A9"/>
    <w:rsid w:val="0079588B"/>
    <w:rsid w:val="007A06C7"/>
    <w:rsid w:val="007E66B8"/>
    <w:rsid w:val="0084476E"/>
    <w:rsid w:val="008469FE"/>
    <w:rsid w:val="0085769D"/>
    <w:rsid w:val="008625E3"/>
    <w:rsid w:val="008B2DDC"/>
    <w:rsid w:val="009504DB"/>
    <w:rsid w:val="00954A70"/>
    <w:rsid w:val="0096341B"/>
    <w:rsid w:val="0099009C"/>
    <w:rsid w:val="009960E4"/>
    <w:rsid w:val="009C5272"/>
    <w:rsid w:val="009D2AA9"/>
    <w:rsid w:val="009D34F0"/>
    <w:rsid w:val="009E248A"/>
    <w:rsid w:val="00A35063"/>
    <w:rsid w:val="00A854F9"/>
    <w:rsid w:val="00A93CF0"/>
    <w:rsid w:val="00B14CF8"/>
    <w:rsid w:val="00B413A7"/>
    <w:rsid w:val="00B44EBC"/>
    <w:rsid w:val="00B46A39"/>
    <w:rsid w:val="00B61854"/>
    <w:rsid w:val="00B8791A"/>
    <w:rsid w:val="00C3001E"/>
    <w:rsid w:val="00C313FE"/>
    <w:rsid w:val="00C43416"/>
    <w:rsid w:val="00C5358A"/>
    <w:rsid w:val="00CB4C1B"/>
    <w:rsid w:val="00CD26A3"/>
    <w:rsid w:val="00CF353C"/>
    <w:rsid w:val="00CF4D4C"/>
    <w:rsid w:val="00D2515B"/>
    <w:rsid w:val="00D60968"/>
    <w:rsid w:val="00D75686"/>
    <w:rsid w:val="00D918C8"/>
    <w:rsid w:val="00DA0D76"/>
    <w:rsid w:val="00DB636D"/>
    <w:rsid w:val="00E03AC4"/>
    <w:rsid w:val="00E2171E"/>
    <w:rsid w:val="00E30F19"/>
    <w:rsid w:val="00E50BAE"/>
    <w:rsid w:val="00EF002B"/>
    <w:rsid w:val="00EF25B6"/>
    <w:rsid w:val="00EF3F18"/>
    <w:rsid w:val="00F02749"/>
    <w:rsid w:val="00F9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288895"/>
  <w15:chartTrackingRefBased/>
  <w15:docId w15:val="{93D27041-8F64-4399-AA6D-D6182D90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1B"/>
    <w:pPr>
      <w:spacing w:after="0" w:line="240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576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9D"/>
  </w:style>
  <w:style w:type="paragraph" w:styleId="Footer">
    <w:name w:val="footer"/>
    <w:basedOn w:val="Normal"/>
    <w:link w:val="FooterChar"/>
    <w:uiPriority w:val="99"/>
    <w:unhideWhenUsed/>
    <w:rsid w:val="0085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9D"/>
  </w:style>
  <w:style w:type="character" w:styleId="CommentReference">
    <w:name w:val="annotation reference"/>
    <w:basedOn w:val="DefaultParagraphFont"/>
    <w:uiPriority w:val="99"/>
    <w:semiHidden/>
    <w:unhideWhenUsed/>
    <w:rsid w:val="004E5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B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B9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2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apprenticeship.gov/career-seeker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wrksolutions.com/Documents/Staff/tradeact/TAA-Coenrollment-Declination-Form.doc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4.jpg@01D7B553.794E812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cid:image003.jpg@01D7B553.794E8120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Links>
    <vt:vector size="18" baseType="variant">
      <vt:variant>
        <vt:i4>262226</vt:i4>
      </vt:variant>
      <vt:variant>
        <vt:i4>6</vt:i4>
      </vt:variant>
      <vt:variant>
        <vt:i4>0</vt:i4>
      </vt:variant>
      <vt:variant>
        <vt:i4>5</vt:i4>
      </vt:variant>
      <vt:variant>
        <vt:lpwstr>https://www.apprenticeship.gov/career-seekers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https://hgac-my.sharepoint.com/:x:/g/personal/brito_h-gac_com/EYI4-v-YzcROpvI44PZ1nF8BwYRxD33Ee0hvwW1a1-cL7g?e=Dr1L9o</vt:lpwstr>
      </vt:variant>
      <vt:variant>
        <vt:lpwstr/>
      </vt:variant>
      <vt:variant>
        <vt:i4>393282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https://www.wrksolutions.com/Documents/Staff/tradeact/TAA-Coenrollment-Declination-Form.docx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Adjustment Assistance (TAA) Reversion 2021 Desk Aid</dc:title>
  <dc:subject/>
  <dc:creator>Eaton, Brittany</dc:creator>
  <cp:keywords>Trade Adjustment Assistance (TAA) Reversion 2021 Desk Aid</cp:keywords>
  <dc:description>Trade Adjustment Assistance (TAA) Reversion 2021 Desk Aid</dc:description>
  <cp:lastModifiedBy>Nguyen, Dat</cp:lastModifiedBy>
  <cp:revision>2</cp:revision>
  <dcterms:created xsi:type="dcterms:W3CDTF">2022-05-04T13:54:00Z</dcterms:created>
  <dcterms:modified xsi:type="dcterms:W3CDTF">2022-05-04T13:54:00Z</dcterms:modified>
</cp:coreProperties>
</file>