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3AC" w:rsidRDefault="00293769" w:rsidP="004A03AC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-379730</wp:posOffset>
            </wp:positionV>
            <wp:extent cx="2905125" cy="664210"/>
            <wp:effectExtent l="19050" t="0" r="9525" b="0"/>
            <wp:wrapNone/>
            <wp:docPr id="2" name="Picture 0" descr="WS-logo-reverseblack 2 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WS-logo-reverseblack 2 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E491D">
        <w:rPr>
          <w:noProof/>
        </w:rPr>
        <w:t>A</w:t>
      </w:r>
      <w:r w:rsidR="00A32C75">
        <w:rPr>
          <w:noProof/>
        </w:rPr>
        <w:t xml:space="preserve">  Cla</w:t>
      </w:r>
    </w:p>
    <w:p w:rsidR="004A03AC" w:rsidRDefault="004A03AC" w:rsidP="004A03AC"/>
    <w:p w:rsidR="004A03AC" w:rsidRDefault="004A03AC" w:rsidP="004A03AC"/>
    <w:p w:rsidR="004A03AC" w:rsidRDefault="004A03AC" w:rsidP="004A03AC"/>
    <w:tbl>
      <w:tblPr>
        <w:tblW w:w="0" w:type="auto"/>
        <w:tblInd w:w="6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0"/>
      </w:tblGrid>
      <w:tr w:rsidR="004A03AC" w:rsidRPr="00CC3D18" w:rsidTr="003D19B0">
        <w:tc>
          <w:tcPr>
            <w:tcW w:w="2520" w:type="dxa"/>
          </w:tcPr>
          <w:p w:rsidR="004A03AC" w:rsidRPr="00CC3D18" w:rsidRDefault="004A03AC" w:rsidP="001C1528">
            <w:pPr>
              <w:jc w:val="center"/>
              <w:rPr>
                <w:b/>
              </w:rPr>
            </w:pPr>
            <w:r w:rsidRPr="00CC3D18">
              <w:rPr>
                <w:b/>
              </w:rPr>
              <w:t xml:space="preserve">WS </w:t>
            </w:r>
            <w:r>
              <w:rPr>
                <w:b/>
              </w:rPr>
              <w:t>15-</w:t>
            </w:r>
            <w:r w:rsidR="001C1528">
              <w:rPr>
                <w:b/>
              </w:rPr>
              <w:t>05</w:t>
            </w:r>
          </w:p>
        </w:tc>
      </w:tr>
      <w:tr w:rsidR="004A03AC" w:rsidRPr="00CC3D18" w:rsidTr="003D19B0">
        <w:tc>
          <w:tcPr>
            <w:tcW w:w="2520" w:type="dxa"/>
          </w:tcPr>
          <w:p w:rsidR="004A03AC" w:rsidRPr="00CC3D18" w:rsidRDefault="001D3739" w:rsidP="001D3739">
            <w:pPr>
              <w:jc w:val="center"/>
              <w:rPr>
                <w:b/>
              </w:rPr>
            </w:pPr>
            <w:r>
              <w:rPr>
                <w:b/>
              </w:rPr>
              <w:t>March</w:t>
            </w:r>
            <w:r w:rsidR="008F7610">
              <w:rPr>
                <w:b/>
              </w:rPr>
              <w:t xml:space="preserve"> 2</w:t>
            </w:r>
            <w:r w:rsidR="004A03AC">
              <w:rPr>
                <w:b/>
              </w:rPr>
              <w:t>, 2015</w:t>
            </w:r>
          </w:p>
        </w:tc>
      </w:tr>
      <w:tr w:rsidR="004A03AC" w:rsidRPr="00CC3D18" w:rsidTr="003D19B0">
        <w:tc>
          <w:tcPr>
            <w:tcW w:w="2520" w:type="dxa"/>
          </w:tcPr>
          <w:p w:rsidR="004A03AC" w:rsidRPr="00CC3D18" w:rsidRDefault="004A03AC" w:rsidP="003D19B0">
            <w:pPr>
              <w:jc w:val="center"/>
              <w:rPr>
                <w:b/>
              </w:rPr>
            </w:pPr>
            <w:r>
              <w:rPr>
                <w:b/>
              </w:rPr>
              <w:t>Adult Education &amp; Literacy</w:t>
            </w:r>
          </w:p>
        </w:tc>
      </w:tr>
      <w:tr w:rsidR="004A03AC" w:rsidRPr="00CC3D18" w:rsidTr="003D19B0">
        <w:tc>
          <w:tcPr>
            <w:tcW w:w="2520" w:type="dxa"/>
          </w:tcPr>
          <w:p w:rsidR="004A03AC" w:rsidRPr="00CC3D18" w:rsidRDefault="004A03AC" w:rsidP="003D19B0">
            <w:pPr>
              <w:jc w:val="center"/>
              <w:rPr>
                <w:b/>
              </w:rPr>
            </w:pPr>
            <w:r w:rsidRPr="00CC3D18">
              <w:rPr>
                <w:b/>
              </w:rPr>
              <w:t>Expires:  Continuing</w:t>
            </w:r>
          </w:p>
        </w:tc>
      </w:tr>
    </w:tbl>
    <w:p w:rsidR="004A03AC" w:rsidRPr="00EC1E9B" w:rsidRDefault="004A03AC" w:rsidP="004A03AC">
      <w:r w:rsidRPr="00EC1E9B">
        <w:t xml:space="preserve">To:  </w:t>
      </w:r>
      <w:r w:rsidRPr="00EC1E9B">
        <w:tab/>
      </w:r>
      <w:r w:rsidRPr="00EC1E9B">
        <w:tab/>
        <w:t>All Contractors</w:t>
      </w:r>
    </w:p>
    <w:p w:rsidR="004A03AC" w:rsidRDefault="004A03AC" w:rsidP="004A03AC">
      <w:r w:rsidRPr="00EC1E9B">
        <w:tab/>
      </w:r>
      <w:r w:rsidRPr="00EC1E9B">
        <w:tab/>
      </w:r>
    </w:p>
    <w:p w:rsidR="004A03AC" w:rsidRDefault="004A03AC" w:rsidP="004A03AC">
      <w:r>
        <w:t xml:space="preserve">From: </w:t>
      </w:r>
      <w:r>
        <w:tab/>
      </w:r>
      <w:r>
        <w:tab/>
      </w:r>
      <w:r w:rsidRPr="00EC1E9B">
        <w:t>Mike Temple</w:t>
      </w:r>
    </w:p>
    <w:p w:rsidR="004A03AC" w:rsidRDefault="004A03AC" w:rsidP="004A03AC">
      <w:r>
        <w:tab/>
      </w:r>
      <w:r>
        <w:tab/>
        <w:t>David Baggerly</w:t>
      </w:r>
    </w:p>
    <w:p w:rsidR="000A485B" w:rsidRPr="00EC1E9B" w:rsidRDefault="000A485B" w:rsidP="004A03AC">
      <w:r>
        <w:tab/>
      </w:r>
      <w:r>
        <w:tab/>
        <w:t>Michelle Ramirez</w:t>
      </w:r>
    </w:p>
    <w:p w:rsidR="004A03AC" w:rsidRPr="00EC1E9B" w:rsidRDefault="004A03AC" w:rsidP="004A03AC">
      <w:r w:rsidRPr="00EC1E9B">
        <w:tab/>
      </w:r>
      <w:r w:rsidRPr="00EC1E9B">
        <w:tab/>
        <w:t>Lucretia Hammond</w:t>
      </w:r>
    </w:p>
    <w:p w:rsidR="004A03AC" w:rsidRPr="00EC1E9B" w:rsidRDefault="004A03AC" w:rsidP="004A03AC"/>
    <w:p w:rsidR="004A03AC" w:rsidRPr="00EC1E9B" w:rsidRDefault="004A03AC" w:rsidP="004A03AC">
      <w:pPr>
        <w:pStyle w:val="Heading7"/>
        <w:pBdr>
          <w:bottom w:val="single" w:sz="4" w:space="4" w:color="auto"/>
        </w:pBdr>
        <w:tabs>
          <w:tab w:val="left" w:pos="1440"/>
        </w:tabs>
        <w:ind w:left="1440" w:hanging="1440"/>
        <w:rPr>
          <w:rFonts w:ascii="Times New Roman" w:hAnsi="Times New Roman"/>
        </w:rPr>
      </w:pPr>
      <w:r w:rsidRPr="00EC1E9B">
        <w:rPr>
          <w:rFonts w:ascii="Times New Roman" w:hAnsi="Times New Roman"/>
        </w:rPr>
        <w:t>Subject:</w:t>
      </w:r>
      <w:r w:rsidRPr="00EC1E9B">
        <w:rPr>
          <w:rFonts w:ascii="Times New Roman" w:hAnsi="Times New Roman"/>
        </w:rPr>
        <w:tab/>
      </w:r>
      <w:bookmarkStart w:id="0" w:name="OLE_LINK1"/>
      <w:bookmarkStart w:id="1" w:name="OLE_LINK2"/>
      <w:r>
        <w:rPr>
          <w:rFonts w:ascii="Times New Roman" w:hAnsi="Times New Roman"/>
        </w:rPr>
        <w:t xml:space="preserve">Adult Education and Literacy </w:t>
      </w:r>
    </w:p>
    <w:bookmarkEnd w:id="0"/>
    <w:bookmarkEnd w:id="1"/>
    <w:p w:rsidR="004A03AC" w:rsidRPr="003C1A1D" w:rsidRDefault="004A03AC" w:rsidP="004A03AC">
      <w:pPr>
        <w:autoSpaceDE w:val="0"/>
        <w:autoSpaceDN w:val="0"/>
        <w:adjustRightInd w:val="0"/>
      </w:pPr>
    </w:p>
    <w:p w:rsidR="004A03AC" w:rsidRPr="003C1A1D" w:rsidRDefault="004A03AC" w:rsidP="003D46A4">
      <w:pPr>
        <w:autoSpaceDE w:val="0"/>
        <w:autoSpaceDN w:val="0"/>
        <w:adjustRightInd w:val="0"/>
        <w:rPr>
          <w:sz w:val="36"/>
          <w:szCs w:val="36"/>
        </w:rPr>
      </w:pPr>
      <w:r w:rsidRPr="003C1A1D">
        <w:rPr>
          <w:sz w:val="36"/>
          <w:szCs w:val="36"/>
        </w:rPr>
        <w:t>Purpose</w:t>
      </w:r>
    </w:p>
    <w:p w:rsidR="004A03AC" w:rsidRDefault="00587384" w:rsidP="003D46A4">
      <w:r>
        <w:t>Provide information on how to access adult education and literacy service for customers</w:t>
      </w:r>
    </w:p>
    <w:p w:rsidR="004A03AC" w:rsidRDefault="004A03AC" w:rsidP="003D46A4"/>
    <w:p w:rsidR="004A03AC" w:rsidRDefault="004A03AC" w:rsidP="003D46A4"/>
    <w:p w:rsidR="004A03AC" w:rsidRPr="003C1A1D" w:rsidRDefault="004A03AC" w:rsidP="003D46A4">
      <w:pPr>
        <w:autoSpaceDE w:val="0"/>
        <w:autoSpaceDN w:val="0"/>
        <w:adjustRightInd w:val="0"/>
        <w:rPr>
          <w:sz w:val="36"/>
          <w:szCs w:val="36"/>
        </w:rPr>
      </w:pPr>
      <w:r w:rsidRPr="003C1A1D">
        <w:rPr>
          <w:sz w:val="36"/>
          <w:szCs w:val="36"/>
        </w:rPr>
        <w:t>Background</w:t>
      </w:r>
    </w:p>
    <w:p w:rsidR="000A485B" w:rsidRDefault="00CB4DF0" w:rsidP="003D46A4">
      <w:r>
        <w:t>In September 2014 the Gulf Coast Workforce Board began administering</w:t>
      </w:r>
      <w:r w:rsidR="00587384">
        <w:t xml:space="preserve"> the public</w:t>
      </w:r>
      <w:r>
        <w:t xml:space="preserve"> adult education</w:t>
      </w:r>
      <w:r w:rsidR="00587384">
        <w:t xml:space="preserve"> and literacy</w:t>
      </w:r>
      <w:r>
        <w:t xml:space="preserve"> </w:t>
      </w:r>
      <w:r w:rsidR="00587384">
        <w:t>funds</w:t>
      </w:r>
      <w:r>
        <w:t xml:space="preserve"> in our 13-county region.  </w:t>
      </w:r>
      <w:r w:rsidR="00587384">
        <w:t>Through a consortium of eight contractors, we plan to help more than 25,000 customers using about $14 million.</w:t>
      </w:r>
      <w:r w:rsidR="000A485B">
        <w:t xml:space="preserve"> </w:t>
      </w:r>
    </w:p>
    <w:p w:rsidR="000A485B" w:rsidRDefault="000A485B" w:rsidP="003D46A4"/>
    <w:p w:rsidR="000A485B" w:rsidRDefault="000A485B" w:rsidP="003D46A4"/>
    <w:p w:rsidR="000A485B" w:rsidRDefault="00587384" w:rsidP="003D46A4">
      <w:pPr>
        <w:autoSpaceDE w:val="0"/>
        <w:autoSpaceDN w:val="0"/>
        <w:adjustRightInd w:val="0"/>
        <w:rPr>
          <w:sz w:val="36"/>
          <w:szCs w:val="36"/>
        </w:rPr>
      </w:pPr>
      <w:r>
        <w:rPr>
          <w:sz w:val="36"/>
          <w:szCs w:val="36"/>
        </w:rPr>
        <w:t>Adult Education and Literacy</w:t>
      </w:r>
    </w:p>
    <w:p w:rsidR="007436D6" w:rsidRDefault="00587384" w:rsidP="003D46A4">
      <w:pPr>
        <w:pStyle w:val="NormalWeb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Adult education and literacy providers offer</w:t>
      </w:r>
      <w:r w:rsidR="007436D6" w:rsidRPr="007436D6">
        <w:rPr>
          <w:color w:val="000000"/>
          <w:shd w:val="clear" w:color="auto" w:fill="FFFFFF"/>
        </w:rPr>
        <w:t xml:space="preserve"> English language, math</w:t>
      </w:r>
      <w:r>
        <w:rPr>
          <w:color w:val="000000"/>
          <w:shd w:val="clear" w:color="auto" w:fill="FFFFFF"/>
        </w:rPr>
        <w:t>ematics</w:t>
      </w:r>
      <w:r w:rsidR="007436D6" w:rsidRPr="007436D6">
        <w:rPr>
          <w:color w:val="000000"/>
          <w:shd w:val="clear" w:color="auto" w:fill="FFFFFF"/>
        </w:rPr>
        <w:t>, reading, and writing instruction to help students acquire the skills needed to earn a high school equivalency, enter college or career training and/ or succeed in the workforce.</w:t>
      </w:r>
    </w:p>
    <w:p w:rsidR="00D0711A" w:rsidRPr="007436D6" w:rsidRDefault="00D0711A" w:rsidP="003D46A4">
      <w:pPr>
        <w:pStyle w:val="NormalWeb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7436D6" w:rsidRDefault="00DD2DC8" w:rsidP="003D46A4">
      <w:pPr>
        <w:autoSpaceDE w:val="0"/>
        <w:autoSpaceDN w:val="0"/>
        <w:adjustRightInd w:val="0"/>
      </w:pPr>
      <w:r>
        <w:t xml:space="preserve">While some </w:t>
      </w:r>
      <w:r w:rsidR="00587384">
        <w:t xml:space="preserve">classes may </w:t>
      </w:r>
      <w:r>
        <w:t xml:space="preserve">charge a small, nominal fee (less than $20) most </w:t>
      </w:r>
      <w:r w:rsidR="00587384">
        <w:t xml:space="preserve">adult education and literacy </w:t>
      </w:r>
      <w:r w:rsidR="00157A5F">
        <w:t xml:space="preserve">services are free to adult learners.  </w:t>
      </w:r>
      <w:r>
        <w:t>S</w:t>
      </w:r>
      <w:r w:rsidR="00157A5F">
        <w:t xml:space="preserve">ervice </w:t>
      </w:r>
      <w:r w:rsidR="00587384">
        <w:t xml:space="preserve">is </w:t>
      </w:r>
      <w:r w:rsidR="00157A5F">
        <w:t xml:space="preserve">also available to young people who have dropped out of high school and have not earned an equivalency diploma.  </w:t>
      </w:r>
    </w:p>
    <w:p w:rsidR="007436D6" w:rsidRDefault="007436D6" w:rsidP="003D46A4">
      <w:pPr>
        <w:autoSpaceDE w:val="0"/>
        <w:autoSpaceDN w:val="0"/>
        <w:adjustRightInd w:val="0"/>
      </w:pPr>
    </w:p>
    <w:p w:rsidR="007436D6" w:rsidRDefault="007436D6" w:rsidP="003D46A4">
      <w:pPr>
        <w:rPr>
          <w:i/>
          <w:sz w:val="28"/>
          <w:szCs w:val="28"/>
        </w:rPr>
      </w:pPr>
      <w:r w:rsidRPr="00157A5F">
        <w:rPr>
          <w:i/>
          <w:sz w:val="28"/>
          <w:szCs w:val="28"/>
        </w:rPr>
        <w:t>Service Categories</w:t>
      </w:r>
    </w:p>
    <w:p w:rsidR="00157A5F" w:rsidRDefault="00587384" w:rsidP="003D46A4">
      <w:pPr>
        <w:autoSpaceDE w:val="0"/>
        <w:autoSpaceDN w:val="0"/>
        <w:adjustRightInd w:val="0"/>
      </w:pPr>
      <w:r>
        <w:t>Adult education and literacy</w:t>
      </w:r>
      <w:r w:rsidR="00157A5F">
        <w:t xml:space="preserve"> providers typically offer a wide var</w:t>
      </w:r>
      <w:r w:rsidR="00DD2DC8">
        <w:t>iety of adult education courses</w:t>
      </w:r>
      <w:r w:rsidR="00906E11">
        <w:t xml:space="preserve">. </w:t>
      </w:r>
      <w:r w:rsidR="00DD2DC8">
        <w:t xml:space="preserve"> </w:t>
      </w:r>
      <w:r w:rsidR="00906E11">
        <w:t xml:space="preserve">Most </w:t>
      </w:r>
      <w:r w:rsidR="00DD2DC8">
        <w:t>of these courses are components of four major service categories:</w:t>
      </w:r>
    </w:p>
    <w:p w:rsidR="003D46A4" w:rsidRPr="00157A5F" w:rsidRDefault="003D46A4" w:rsidP="003D46A4">
      <w:pPr>
        <w:autoSpaceDE w:val="0"/>
        <w:autoSpaceDN w:val="0"/>
        <w:adjustRightInd w:val="0"/>
      </w:pPr>
    </w:p>
    <w:p w:rsidR="007436D6" w:rsidRDefault="007436D6" w:rsidP="00A32C75">
      <w:pPr>
        <w:numPr>
          <w:ilvl w:val="0"/>
          <w:numId w:val="7"/>
        </w:numPr>
        <w:shd w:val="clear" w:color="auto" w:fill="FFFFFF"/>
        <w:spacing w:after="240"/>
        <w:rPr>
          <w:color w:val="000000"/>
        </w:rPr>
      </w:pPr>
      <w:r w:rsidRPr="007436D6">
        <w:rPr>
          <w:rStyle w:val="Strong"/>
          <w:color w:val="000000"/>
        </w:rPr>
        <w:t>GED Preparation</w:t>
      </w:r>
      <w:r w:rsidR="00157A5F">
        <w:rPr>
          <w:rStyle w:val="apple-converted-space"/>
          <w:color w:val="000000"/>
        </w:rPr>
        <w:t xml:space="preserve"> - </w:t>
      </w:r>
      <w:r w:rsidRPr="007436D6">
        <w:rPr>
          <w:color w:val="000000"/>
        </w:rPr>
        <w:t>Academic preparation toward readiness for the high</w:t>
      </w:r>
      <w:r w:rsidR="00157A5F">
        <w:rPr>
          <w:color w:val="000000"/>
        </w:rPr>
        <w:t xml:space="preserve"> school equivalency examination.</w:t>
      </w:r>
    </w:p>
    <w:p w:rsidR="007436D6" w:rsidRPr="007436D6" w:rsidRDefault="006D10C2" w:rsidP="00A32C75">
      <w:pPr>
        <w:numPr>
          <w:ilvl w:val="0"/>
          <w:numId w:val="7"/>
        </w:numPr>
        <w:shd w:val="clear" w:color="auto" w:fill="FFFFFF"/>
        <w:spacing w:after="240"/>
        <w:rPr>
          <w:color w:val="000000"/>
        </w:rPr>
      </w:pPr>
      <w:r>
        <w:rPr>
          <w:rStyle w:val="Strong"/>
          <w:color w:val="000000"/>
        </w:rPr>
        <w:lastRenderedPageBreak/>
        <w:t xml:space="preserve">Combined GED &amp; </w:t>
      </w:r>
      <w:r w:rsidR="007436D6" w:rsidRPr="007436D6">
        <w:rPr>
          <w:rStyle w:val="Strong"/>
          <w:color w:val="000000"/>
        </w:rPr>
        <w:t>Skills Training</w:t>
      </w:r>
      <w:r w:rsidR="007436D6" w:rsidRPr="007436D6">
        <w:rPr>
          <w:rStyle w:val="apple-converted-space"/>
          <w:color w:val="000000"/>
        </w:rPr>
        <w:t> </w:t>
      </w:r>
      <w:r w:rsidR="00157A5F">
        <w:rPr>
          <w:color w:val="000000"/>
        </w:rPr>
        <w:t xml:space="preserve">- </w:t>
      </w:r>
      <w:r w:rsidR="007436D6" w:rsidRPr="007436D6">
        <w:rPr>
          <w:color w:val="000000"/>
        </w:rPr>
        <w:t xml:space="preserve">Traditional GED preparation </w:t>
      </w:r>
      <w:r w:rsidR="00906E11">
        <w:rPr>
          <w:color w:val="000000"/>
        </w:rPr>
        <w:t xml:space="preserve">offered </w:t>
      </w:r>
      <w:r w:rsidR="007436D6" w:rsidRPr="007436D6">
        <w:rPr>
          <w:color w:val="000000"/>
        </w:rPr>
        <w:t>with concurrent skills training</w:t>
      </w:r>
      <w:r w:rsidR="00906E11">
        <w:rPr>
          <w:color w:val="000000"/>
        </w:rPr>
        <w:t xml:space="preserve">.  </w:t>
      </w:r>
      <w:r w:rsidR="00587384">
        <w:rPr>
          <w:color w:val="000000"/>
        </w:rPr>
        <w:t xml:space="preserve">  You may also hear this referred to as “contextualized learning”.</w:t>
      </w:r>
    </w:p>
    <w:p w:rsidR="00157A5F" w:rsidRDefault="007436D6" w:rsidP="00A32C75">
      <w:pPr>
        <w:numPr>
          <w:ilvl w:val="0"/>
          <w:numId w:val="7"/>
        </w:numPr>
        <w:shd w:val="clear" w:color="auto" w:fill="FFFFFF"/>
        <w:spacing w:after="240"/>
        <w:rPr>
          <w:color w:val="000000"/>
        </w:rPr>
      </w:pPr>
      <w:r w:rsidRPr="00157A5F">
        <w:rPr>
          <w:rStyle w:val="Strong"/>
          <w:color w:val="000000"/>
        </w:rPr>
        <w:t>English as a Second Language</w:t>
      </w:r>
      <w:r w:rsidR="00157A5F">
        <w:rPr>
          <w:rStyle w:val="Strong"/>
          <w:color w:val="000000"/>
        </w:rPr>
        <w:t xml:space="preserve"> </w:t>
      </w:r>
      <w:r w:rsidR="00157A5F" w:rsidRPr="00157A5F">
        <w:rPr>
          <w:rStyle w:val="Strong"/>
          <w:b w:val="0"/>
          <w:color w:val="000000"/>
        </w:rPr>
        <w:t>-</w:t>
      </w:r>
      <w:r w:rsidR="00157A5F">
        <w:rPr>
          <w:rStyle w:val="Strong"/>
          <w:color w:val="000000"/>
        </w:rPr>
        <w:t xml:space="preserve"> </w:t>
      </w:r>
      <w:r w:rsidRPr="00157A5F">
        <w:rPr>
          <w:color w:val="000000"/>
        </w:rPr>
        <w:t xml:space="preserve">ESL courses teach English literacy to individuals with languages other than English as their primary language.  </w:t>
      </w:r>
    </w:p>
    <w:p w:rsidR="007436D6" w:rsidRPr="003B5A9C" w:rsidRDefault="007436D6" w:rsidP="003D46A4">
      <w:pPr>
        <w:numPr>
          <w:ilvl w:val="0"/>
          <w:numId w:val="7"/>
        </w:numPr>
        <w:shd w:val="clear" w:color="auto" w:fill="FFFFFF"/>
        <w:rPr>
          <w:color w:val="000000"/>
        </w:rPr>
      </w:pPr>
      <w:r w:rsidRPr="00157A5F">
        <w:rPr>
          <w:rStyle w:val="Strong"/>
          <w:color w:val="000000"/>
        </w:rPr>
        <w:t>EL/Civics</w:t>
      </w:r>
      <w:r w:rsidRPr="00157A5F">
        <w:rPr>
          <w:color w:val="000000"/>
        </w:rPr>
        <w:t xml:space="preserve"> </w:t>
      </w:r>
      <w:r w:rsidR="00157A5F">
        <w:rPr>
          <w:color w:val="000000"/>
        </w:rPr>
        <w:t xml:space="preserve">- </w:t>
      </w:r>
      <w:r w:rsidRPr="00157A5F">
        <w:rPr>
          <w:color w:val="000000"/>
        </w:rPr>
        <w:t>Civics courses inform individuals on United States history, culture, and practice</w:t>
      </w:r>
      <w:r w:rsidR="00157A5F">
        <w:rPr>
          <w:color w:val="000000"/>
        </w:rPr>
        <w:t xml:space="preserve"> in preparation for </w:t>
      </w:r>
      <w:r w:rsidR="00583367">
        <w:rPr>
          <w:color w:val="000000"/>
        </w:rPr>
        <w:t>U.S.</w:t>
      </w:r>
      <w:r w:rsidR="00906E11">
        <w:rPr>
          <w:color w:val="000000"/>
        </w:rPr>
        <w:t xml:space="preserve"> </w:t>
      </w:r>
      <w:r w:rsidR="00157A5F">
        <w:rPr>
          <w:color w:val="000000"/>
        </w:rPr>
        <w:t>citizenship.</w:t>
      </w:r>
      <w:r w:rsidR="003B5A9C">
        <w:rPr>
          <w:color w:val="000000"/>
        </w:rPr>
        <w:t xml:space="preserve">  EL/Civics courses are frequently offered in conjunction with ESL courses.</w:t>
      </w:r>
    </w:p>
    <w:p w:rsidR="007436D6" w:rsidRDefault="007436D6" w:rsidP="003D46A4">
      <w:pPr>
        <w:autoSpaceDE w:val="0"/>
        <w:autoSpaceDN w:val="0"/>
        <w:adjustRightInd w:val="0"/>
      </w:pPr>
    </w:p>
    <w:p w:rsidR="00A32C75" w:rsidRPr="00D0711A" w:rsidRDefault="00A32C75" w:rsidP="003D46A4">
      <w:pPr>
        <w:autoSpaceDE w:val="0"/>
        <w:autoSpaceDN w:val="0"/>
        <w:adjustRightInd w:val="0"/>
      </w:pPr>
    </w:p>
    <w:p w:rsidR="000A485B" w:rsidRPr="00F831D9" w:rsidRDefault="005C4612" w:rsidP="003D46A4">
      <w:pPr>
        <w:autoSpaceDE w:val="0"/>
        <w:autoSpaceDN w:val="0"/>
        <w:adjustRightInd w:val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The </w:t>
      </w:r>
      <w:r w:rsidR="00587384">
        <w:rPr>
          <w:i/>
          <w:sz w:val="28"/>
          <w:szCs w:val="28"/>
        </w:rPr>
        <w:t>Consortium</w:t>
      </w:r>
    </w:p>
    <w:p w:rsidR="00F831D9" w:rsidRDefault="002A1F61" w:rsidP="003D46A4">
      <w:pPr>
        <w:autoSpaceDE w:val="0"/>
        <w:autoSpaceDN w:val="0"/>
        <w:adjustRightInd w:val="0"/>
      </w:pPr>
      <w:r>
        <w:t>The consortium includes a managing partner, Region 6 Education Service Center, and seven providers.  Region 6 offers programming support for the system.  The seven providers</w:t>
      </w:r>
      <w:r w:rsidR="003D46A4">
        <w:t xml:space="preserve"> </w:t>
      </w:r>
      <w:r>
        <w:t xml:space="preserve">offer direct service through their own facilities as well as </w:t>
      </w:r>
      <w:r w:rsidR="003D46A4">
        <w:t>through sites at</w:t>
      </w:r>
      <w:r w:rsidR="005C4612">
        <w:t xml:space="preserve"> hundreds of community based organizations, such as churches, libraries, non-profits, schools</w:t>
      </w:r>
      <w:r>
        <w:t>.</w:t>
      </w:r>
      <w:r w:rsidR="005C4612">
        <w:t xml:space="preserve"> </w:t>
      </w:r>
    </w:p>
    <w:p w:rsidR="001C1528" w:rsidRDefault="001C1528" w:rsidP="003D46A4">
      <w:pPr>
        <w:autoSpaceDE w:val="0"/>
        <w:autoSpaceDN w:val="0"/>
        <w:adjustRightInd w:val="0"/>
      </w:pPr>
    </w:p>
    <w:tbl>
      <w:tblPr>
        <w:tblW w:w="9180" w:type="dxa"/>
        <w:tblInd w:w="108" w:type="dxa"/>
        <w:tblLook w:val="04A0"/>
      </w:tblPr>
      <w:tblGrid>
        <w:gridCol w:w="1890"/>
        <w:gridCol w:w="2951"/>
        <w:gridCol w:w="1729"/>
        <w:gridCol w:w="2610"/>
      </w:tblGrid>
      <w:tr w:rsidR="003902CE" w:rsidRPr="003902CE" w:rsidTr="00587384">
        <w:trPr>
          <w:trHeight w:val="288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2CE" w:rsidRPr="003902CE" w:rsidRDefault="003902CE" w:rsidP="003D46A4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902C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Name of Organization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2CE" w:rsidRPr="003902CE" w:rsidRDefault="003902CE" w:rsidP="003D46A4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902C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Counties Served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CE" w:rsidRPr="003902CE" w:rsidRDefault="003902CE" w:rsidP="003D46A4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902C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Role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2CE" w:rsidRPr="003902CE" w:rsidRDefault="003902CE" w:rsidP="003D46A4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902C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Responsibilities</w:t>
            </w:r>
          </w:p>
        </w:tc>
      </w:tr>
      <w:tr w:rsidR="003902CE" w:rsidRPr="003902CE" w:rsidTr="00587384">
        <w:trPr>
          <w:trHeight w:val="288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CE" w:rsidRPr="003902CE" w:rsidRDefault="005C4612" w:rsidP="003D46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D7C90">
              <w:rPr>
                <w:rFonts w:ascii="Calibri" w:hAnsi="Calibri"/>
                <w:color w:val="000000"/>
                <w:sz w:val="20"/>
                <w:szCs w:val="20"/>
              </w:rPr>
              <w:t>Region 6 Education</w:t>
            </w:r>
            <w:r w:rsidR="003902CE" w:rsidRPr="003902CE">
              <w:rPr>
                <w:rFonts w:ascii="Calibri" w:hAnsi="Calibri"/>
                <w:color w:val="000000"/>
                <w:sz w:val="20"/>
                <w:szCs w:val="20"/>
              </w:rPr>
              <w:t xml:space="preserve"> Service Center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CE" w:rsidRPr="003902CE" w:rsidRDefault="003902CE" w:rsidP="003D46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2CE">
              <w:rPr>
                <w:rFonts w:ascii="Calibri" w:hAnsi="Calibri"/>
                <w:color w:val="000000"/>
                <w:sz w:val="20"/>
                <w:szCs w:val="20"/>
              </w:rPr>
              <w:t>All 13 Counties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CE" w:rsidRPr="003902CE" w:rsidRDefault="003902CE" w:rsidP="003D46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2CE">
              <w:rPr>
                <w:rFonts w:ascii="Calibri" w:hAnsi="Calibri"/>
                <w:color w:val="000000"/>
                <w:sz w:val="20"/>
                <w:szCs w:val="20"/>
              </w:rPr>
              <w:t>Lead Organization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CE" w:rsidRPr="003902CE" w:rsidRDefault="003902CE" w:rsidP="003D46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2CE">
              <w:rPr>
                <w:rFonts w:ascii="Calibri" w:hAnsi="Calibri"/>
                <w:color w:val="000000"/>
                <w:sz w:val="20"/>
                <w:szCs w:val="20"/>
              </w:rPr>
              <w:t xml:space="preserve">Provide technical and programmatic support </w:t>
            </w:r>
          </w:p>
        </w:tc>
      </w:tr>
      <w:tr w:rsidR="003902CE" w:rsidRPr="003902CE" w:rsidTr="00587384">
        <w:trPr>
          <w:trHeight w:val="288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CE" w:rsidRPr="003902CE" w:rsidRDefault="003902CE" w:rsidP="003D46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2CE">
              <w:rPr>
                <w:rFonts w:ascii="Calibri" w:hAnsi="Calibri"/>
                <w:color w:val="000000"/>
                <w:sz w:val="20"/>
                <w:szCs w:val="20"/>
              </w:rPr>
              <w:t>Brazosport College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CE" w:rsidRPr="003902CE" w:rsidRDefault="003902CE" w:rsidP="003D46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2CE">
              <w:rPr>
                <w:rFonts w:ascii="Calibri" w:hAnsi="Calibri"/>
                <w:color w:val="000000"/>
                <w:sz w:val="20"/>
                <w:szCs w:val="20"/>
              </w:rPr>
              <w:t>Brazoria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CE" w:rsidRPr="003902CE" w:rsidRDefault="003902CE" w:rsidP="003D46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2CE">
              <w:rPr>
                <w:rFonts w:ascii="Calibri" w:hAnsi="Calibri"/>
                <w:color w:val="000000"/>
                <w:sz w:val="20"/>
                <w:szCs w:val="20"/>
              </w:rPr>
              <w:t>Service Provider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CE" w:rsidRPr="003902CE" w:rsidRDefault="002A1F61" w:rsidP="003D46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Adult education and literacy</w:t>
            </w:r>
          </w:p>
        </w:tc>
      </w:tr>
      <w:tr w:rsidR="003902CE" w:rsidRPr="003902CE" w:rsidTr="00587384">
        <w:trPr>
          <w:trHeight w:val="288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CE" w:rsidRPr="003902CE" w:rsidRDefault="003902CE" w:rsidP="003D46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2CE">
              <w:rPr>
                <w:rFonts w:ascii="Calibri" w:hAnsi="Calibri"/>
                <w:color w:val="000000"/>
                <w:sz w:val="20"/>
                <w:szCs w:val="20"/>
              </w:rPr>
              <w:t>College of the Mainland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CE" w:rsidRPr="003902CE" w:rsidRDefault="003902CE" w:rsidP="003D46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2CE">
              <w:rPr>
                <w:rFonts w:ascii="Calibri" w:hAnsi="Calibri"/>
                <w:color w:val="000000"/>
                <w:sz w:val="20"/>
                <w:szCs w:val="20"/>
              </w:rPr>
              <w:t>Chambers and Galveston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CE" w:rsidRPr="003902CE" w:rsidRDefault="003902CE" w:rsidP="003D46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2CE">
              <w:rPr>
                <w:rFonts w:ascii="Calibri" w:hAnsi="Calibri"/>
                <w:color w:val="000000"/>
                <w:sz w:val="20"/>
                <w:szCs w:val="20"/>
              </w:rPr>
              <w:t>Service Provider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CE" w:rsidRPr="003902CE" w:rsidRDefault="002A1F61" w:rsidP="003D46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Adult education and literacy</w:t>
            </w:r>
          </w:p>
        </w:tc>
      </w:tr>
      <w:tr w:rsidR="003902CE" w:rsidRPr="003902CE" w:rsidTr="00587384">
        <w:trPr>
          <w:trHeight w:val="288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CE" w:rsidRPr="003902CE" w:rsidRDefault="003902CE" w:rsidP="003D46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D7C90">
              <w:rPr>
                <w:rFonts w:ascii="Calibri" w:hAnsi="Calibri"/>
                <w:color w:val="000000"/>
                <w:sz w:val="20"/>
                <w:szCs w:val="20"/>
              </w:rPr>
              <w:t>Harris County Depar</w:t>
            </w:r>
            <w:r w:rsidRPr="003902CE">
              <w:rPr>
                <w:rFonts w:ascii="Calibri" w:hAnsi="Calibri"/>
                <w:color w:val="000000"/>
                <w:sz w:val="20"/>
                <w:szCs w:val="20"/>
              </w:rPr>
              <w:t>tment of Education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CE" w:rsidRPr="003902CE" w:rsidRDefault="003902CE" w:rsidP="003D46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2CE">
              <w:rPr>
                <w:rFonts w:ascii="Calibri" w:hAnsi="Calibri"/>
                <w:color w:val="000000"/>
                <w:sz w:val="20"/>
                <w:szCs w:val="20"/>
              </w:rPr>
              <w:t>Harris</w:t>
            </w:r>
            <w:r w:rsidR="003E5996">
              <w:rPr>
                <w:rFonts w:ascii="Calibri" w:hAnsi="Calibri"/>
                <w:color w:val="000000"/>
                <w:sz w:val="20"/>
                <w:szCs w:val="20"/>
              </w:rPr>
              <w:t xml:space="preserve"> and Liberty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CE" w:rsidRPr="003902CE" w:rsidRDefault="003902CE" w:rsidP="003D46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2CE">
              <w:rPr>
                <w:rFonts w:ascii="Calibri" w:hAnsi="Calibri"/>
                <w:color w:val="000000"/>
                <w:sz w:val="20"/>
                <w:szCs w:val="20"/>
              </w:rPr>
              <w:t>Service Provider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CE" w:rsidRPr="003902CE" w:rsidRDefault="002A1F61" w:rsidP="003D46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Adult education and literacy</w:t>
            </w:r>
          </w:p>
        </w:tc>
      </w:tr>
      <w:tr w:rsidR="003902CE" w:rsidRPr="003902CE" w:rsidTr="00587384">
        <w:trPr>
          <w:trHeight w:val="288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CE" w:rsidRPr="003902CE" w:rsidRDefault="003902CE" w:rsidP="003D46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2CE">
              <w:rPr>
                <w:rFonts w:ascii="Calibri" w:hAnsi="Calibri"/>
                <w:color w:val="000000"/>
                <w:sz w:val="20"/>
                <w:szCs w:val="20"/>
              </w:rPr>
              <w:t>Houston Community College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CE" w:rsidRPr="003902CE" w:rsidRDefault="003902CE" w:rsidP="003D46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2CE">
              <w:rPr>
                <w:rFonts w:ascii="Calibri" w:hAnsi="Calibri"/>
                <w:color w:val="000000"/>
                <w:sz w:val="20"/>
                <w:szCs w:val="20"/>
              </w:rPr>
              <w:t>Fort Bend and Harris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CE" w:rsidRPr="003902CE" w:rsidRDefault="003902CE" w:rsidP="003D46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2CE">
              <w:rPr>
                <w:rFonts w:ascii="Calibri" w:hAnsi="Calibri"/>
                <w:color w:val="000000"/>
                <w:sz w:val="20"/>
                <w:szCs w:val="20"/>
              </w:rPr>
              <w:t>Service Provider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CE" w:rsidRPr="003902CE" w:rsidRDefault="002A1F61" w:rsidP="003D46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Adult education and literacy</w:t>
            </w:r>
          </w:p>
        </w:tc>
      </w:tr>
      <w:tr w:rsidR="003902CE" w:rsidRPr="003902CE" w:rsidTr="00587384">
        <w:trPr>
          <w:trHeight w:val="288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CE" w:rsidRPr="003902CE" w:rsidRDefault="003902CE" w:rsidP="003D46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2CE">
              <w:rPr>
                <w:rFonts w:ascii="Calibri" w:hAnsi="Calibri"/>
                <w:color w:val="000000"/>
                <w:sz w:val="20"/>
                <w:szCs w:val="20"/>
              </w:rPr>
              <w:t>Lone Star College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CE" w:rsidRPr="003902CE" w:rsidRDefault="003902CE" w:rsidP="003D46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2CE">
              <w:rPr>
                <w:rFonts w:ascii="Calibri" w:hAnsi="Calibri"/>
                <w:color w:val="000000"/>
                <w:sz w:val="20"/>
                <w:szCs w:val="20"/>
              </w:rPr>
              <w:t>Harris, Montgomery and Walker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CE" w:rsidRPr="003902CE" w:rsidRDefault="003902CE" w:rsidP="003D46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2CE">
              <w:rPr>
                <w:rFonts w:ascii="Calibri" w:hAnsi="Calibri"/>
                <w:color w:val="000000"/>
                <w:sz w:val="20"/>
                <w:szCs w:val="20"/>
              </w:rPr>
              <w:t>Service Provider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CE" w:rsidRPr="003902CE" w:rsidRDefault="002A1F61" w:rsidP="003D46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Adult education and literacy</w:t>
            </w:r>
          </w:p>
        </w:tc>
      </w:tr>
      <w:tr w:rsidR="003902CE" w:rsidRPr="003902CE" w:rsidTr="00587384">
        <w:trPr>
          <w:trHeight w:val="288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CE" w:rsidRPr="003902CE" w:rsidRDefault="003902CE" w:rsidP="003D46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2CE">
              <w:rPr>
                <w:rFonts w:ascii="Calibri" w:hAnsi="Calibri"/>
                <w:color w:val="000000"/>
                <w:sz w:val="20"/>
                <w:szCs w:val="20"/>
              </w:rPr>
              <w:t>San Jacinto College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CE" w:rsidRPr="003902CE" w:rsidRDefault="003902CE" w:rsidP="003D46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2CE">
              <w:rPr>
                <w:rFonts w:ascii="Calibri" w:hAnsi="Calibri"/>
                <w:color w:val="000000"/>
                <w:sz w:val="20"/>
                <w:szCs w:val="20"/>
              </w:rPr>
              <w:t>Harris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CE" w:rsidRPr="003902CE" w:rsidRDefault="003902CE" w:rsidP="003D46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2CE">
              <w:rPr>
                <w:rFonts w:ascii="Calibri" w:hAnsi="Calibri"/>
                <w:color w:val="000000"/>
                <w:sz w:val="20"/>
                <w:szCs w:val="20"/>
              </w:rPr>
              <w:t>Service Provider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CE" w:rsidRPr="003902CE" w:rsidRDefault="002A1F61" w:rsidP="003D46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Adult education and literacy</w:t>
            </w:r>
          </w:p>
        </w:tc>
      </w:tr>
      <w:tr w:rsidR="003902CE" w:rsidRPr="003902CE" w:rsidTr="00587384">
        <w:trPr>
          <w:trHeight w:val="288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CE" w:rsidRPr="003902CE" w:rsidRDefault="003902CE" w:rsidP="003D46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2CE">
              <w:rPr>
                <w:rFonts w:ascii="Calibri" w:hAnsi="Calibri"/>
                <w:color w:val="000000"/>
                <w:sz w:val="20"/>
                <w:szCs w:val="20"/>
              </w:rPr>
              <w:t>Wharton County Junior College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CE" w:rsidRPr="003902CE" w:rsidRDefault="003902CE" w:rsidP="003D46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2CE">
              <w:rPr>
                <w:rFonts w:ascii="Calibri" w:hAnsi="Calibri"/>
                <w:color w:val="000000"/>
                <w:sz w:val="20"/>
                <w:szCs w:val="20"/>
              </w:rPr>
              <w:t>Austin, Colorado, Fort Bend, Matagorda, Waller and Wharton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CE" w:rsidRPr="003902CE" w:rsidRDefault="003902CE" w:rsidP="003D46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02CE">
              <w:rPr>
                <w:rFonts w:ascii="Calibri" w:hAnsi="Calibri"/>
                <w:color w:val="000000"/>
                <w:sz w:val="20"/>
                <w:szCs w:val="20"/>
              </w:rPr>
              <w:t>Service Provider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CE" w:rsidRPr="003902CE" w:rsidRDefault="002A1F61" w:rsidP="003D46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Adult education and literacy</w:t>
            </w:r>
          </w:p>
        </w:tc>
      </w:tr>
    </w:tbl>
    <w:p w:rsidR="003E5996" w:rsidRDefault="003E5996" w:rsidP="003D46A4">
      <w:pPr>
        <w:autoSpaceDE w:val="0"/>
        <w:autoSpaceDN w:val="0"/>
        <w:adjustRightInd w:val="0"/>
        <w:rPr>
          <w:i/>
          <w:sz w:val="28"/>
          <w:szCs w:val="28"/>
        </w:rPr>
      </w:pPr>
    </w:p>
    <w:p w:rsidR="003D46A4" w:rsidRDefault="003D46A4" w:rsidP="003D46A4">
      <w:pPr>
        <w:autoSpaceDE w:val="0"/>
        <w:autoSpaceDN w:val="0"/>
        <w:adjustRightInd w:val="0"/>
        <w:rPr>
          <w:i/>
          <w:sz w:val="28"/>
          <w:szCs w:val="28"/>
        </w:rPr>
      </w:pPr>
    </w:p>
    <w:p w:rsidR="00A32C75" w:rsidRDefault="00A32C75">
      <w:pPr>
        <w:spacing w:after="20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0A485B" w:rsidRDefault="00D0711A" w:rsidP="003D46A4">
      <w:pPr>
        <w:autoSpaceDE w:val="0"/>
        <w:autoSpaceDN w:val="0"/>
        <w:adjustRightInd w:val="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General </w:t>
      </w:r>
      <w:r w:rsidR="002578A8">
        <w:rPr>
          <w:i/>
          <w:sz w:val="28"/>
          <w:szCs w:val="28"/>
        </w:rPr>
        <w:t>Eligibility</w:t>
      </w:r>
    </w:p>
    <w:p w:rsidR="002578A8" w:rsidRDefault="002A1F61" w:rsidP="003D46A4">
      <w:pPr>
        <w:pStyle w:val="ListParagraph"/>
        <w:autoSpaceDE w:val="0"/>
        <w:autoSpaceDN w:val="0"/>
        <w:adjustRightInd w:val="0"/>
        <w:spacing w:before="0" w:after="0"/>
        <w:ind w:left="0"/>
      </w:pPr>
      <w:r>
        <w:t>To participate in a class funded through the consortium, c</w:t>
      </w:r>
      <w:r w:rsidR="006C11D0">
        <w:t xml:space="preserve">ustomers must be 16 years of age or older, considered out-of-school and </w:t>
      </w:r>
      <w:r w:rsidR="002578A8">
        <w:t>not enrolled or required to be enrolled in secon</w:t>
      </w:r>
      <w:r w:rsidR="006C11D0">
        <w:t xml:space="preserve">dary school under state law.  </w:t>
      </w:r>
      <w:r>
        <w:t>Customers must also:</w:t>
      </w:r>
    </w:p>
    <w:p w:rsidR="00AC7154" w:rsidRDefault="00AC7154" w:rsidP="003D46A4">
      <w:pPr>
        <w:pStyle w:val="ListParagraph"/>
        <w:autoSpaceDE w:val="0"/>
        <w:autoSpaceDN w:val="0"/>
        <w:adjustRightInd w:val="0"/>
        <w:spacing w:before="0" w:after="0"/>
        <w:ind w:left="0"/>
      </w:pPr>
    </w:p>
    <w:p w:rsidR="002578A8" w:rsidRDefault="00AF03F0" w:rsidP="003D46A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0" w:after="0"/>
      </w:pPr>
      <w:r>
        <w:t xml:space="preserve"> </w:t>
      </w:r>
      <w:r w:rsidR="002578A8">
        <w:t>lack sufficient basic educational skills to function effectively in society;</w:t>
      </w:r>
      <w:r w:rsidR="002A1F61">
        <w:t xml:space="preserve"> or</w:t>
      </w:r>
    </w:p>
    <w:p w:rsidR="002578A8" w:rsidRDefault="002578A8" w:rsidP="003D46A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0" w:after="0"/>
      </w:pPr>
      <w:r>
        <w:t>not have a secondary school diplo</w:t>
      </w:r>
      <w:r w:rsidR="00C02BF1">
        <w:t>ma or its recognized equivalent</w:t>
      </w:r>
      <w:r>
        <w:t>; or</w:t>
      </w:r>
    </w:p>
    <w:p w:rsidR="002578A8" w:rsidRDefault="00C02BF1" w:rsidP="003D46A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0" w:after="0"/>
      </w:pPr>
      <w:r>
        <w:t xml:space="preserve"> </w:t>
      </w:r>
      <w:proofErr w:type="gramStart"/>
      <w:r w:rsidR="00AF03F0">
        <w:t>be</w:t>
      </w:r>
      <w:proofErr w:type="gramEnd"/>
      <w:r w:rsidR="00AF03F0">
        <w:t xml:space="preserve"> </w:t>
      </w:r>
      <w:r w:rsidR="002578A8">
        <w:t>unable to speak, read, or write the English language.</w:t>
      </w:r>
    </w:p>
    <w:p w:rsidR="002C0C1C" w:rsidRDefault="002C0C1C" w:rsidP="003D46A4">
      <w:pPr>
        <w:pStyle w:val="ListParagraph"/>
        <w:autoSpaceDE w:val="0"/>
        <w:autoSpaceDN w:val="0"/>
        <w:adjustRightInd w:val="0"/>
        <w:spacing w:before="0" w:after="0"/>
        <w:ind w:left="0"/>
      </w:pPr>
    </w:p>
    <w:p w:rsidR="002C0C1C" w:rsidRPr="00A32C75" w:rsidRDefault="002C0C1C" w:rsidP="00A32C75">
      <w:pPr>
        <w:tabs>
          <w:tab w:val="left" w:pos="8280"/>
        </w:tabs>
        <w:autoSpaceDE w:val="0"/>
        <w:autoSpaceDN w:val="0"/>
        <w:adjustRightInd w:val="0"/>
        <w:ind w:left="720" w:right="720"/>
        <w:rPr>
          <w:b/>
        </w:rPr>
      </w:pPr>
      <w:r w:rsidRPr="00A32C75">
        <w:rPr>
          <w:b/>
        </w:rPr>
        <w:t>Currently adult education providers conduct intake, make eligibility determinations, and enter data on participation in adult education and literacy service.</w:t>
      </w:r>
    </w:p>
    <w:p w:rsidR="002C0C1C" w:rsidRDefault="002C0C1C" w:rsidP="002C0C1C">
      <w:pPr>
        <w:autoSpaceDE w:val="0"/>
        <w:autoSpaceDN w:val="0"/>
        <w:adjustRightInd w:val="0"/>
        <w:ind w:left="360"/>
      </w:pPr>
    </w:p>
    <w:p w:rsidR="00A32C75" w:rsidRDefault="00A32C75" w:rsidP="002C0C1C">
      <w:pPr>
        <w:autoSpaceDE w:val="0"/>
        <w:autoSpaceDN w:val="0"/>
        <w:adjustRightInd w:val="0"/>
        <w:ind w:left="360"/>
      </w:pPr>
    </w:p>
    <w:p w:rsidR="002C0C1C" w:rsidRDefault="002C0C1C" w:rsidP="003D46A4">
      <w:pPr>
        <w:pStyle w:val="ListParagraph"/>
        <w:autoSpaceDE w:val="0"/>
        <w:autoSpaceDN w:val="0"/>
        <w:adjustRightInd w:val="0"/>
        <w:spacing w:before="0" w:after="0"/>
        <w:ind w:left="0"/>
      </w:pPr>
    </w:p>
    <w:p w:rsidR="002C0C1C" w:rsidRPr="002C0C1C" w:rsidRDefault="002C0C1C" w:rsidP="002C0C1C">
      <w:pPr>
        <w:autoSpaceDE w:val="0"/>
        <w:autoSpaceDN w:val="0"/>
        <w:adjustRightInd w:val="0"/>
        <w:rPr>
          <w:i/>
          <w:sz w:val="28"/>
          <w:szCs w:val="28"/>
        </w:rPr>
      </w:pPr>
      <w:r w:rsidRPr="002C0C1C">
        <w:rPr>
          <w:i/>
          <w:sz w:val="28"/>
          <w:szCs w:val="28"/>
        </w:rPr>
        <w:t>Making the Connection</w:t>
      </w:r>
    </w:p>
    <w:p w:rsidR="002C0C1C" w:rsidRDefault="002C0C1C" w:rsidP="003D46A4">
      <w:pPr>
        <w:pStyle w:val="ListParagraph"/>
        <w:autoSpaceDE w:val="0"/>
        <w:autoSpaceDN w:val="0"/>
        <w:adjustRightInd w:val="0"/>
        <w:spacing w:before="0" w:after="0"/>
        <w:ind w:left="0"/>
      </w:pPr>
      <w:r>
        <w:t>Staff can connect customers with adult education and literacy service when:</w:t>
      </w:r>
    </w:p>
    <w:p w:rsidR="002C0C1C" w:rsidRDefault="002C0C1C" w:rsidP="003D46A4">
      <w:pPr>
        <w:pStyle w:val="ListParagraph"/>
        <w:autoSpaceDE w:val="0"/>
        <w:autoSpaceDN w:val="0"/>
        <w:adjustRightInd w:val="0"/>
        <w:spacing w:before="0" w:after="0"/>
        <w:ind w:left="0"/>
      </w:pPr>
    </w:p>
    <w:p w:rsidR="002C0C1C" w:rsidRDefault="002C0C1C" w:rsidP="002C0C1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0" w:after="0"/>
      </w:pPr>
      <w:r>
        <w:t>Staff suggest adult education as a part of an employment or career plan for a customer</w:t>
      </w:r>
    </w:p>
    <w:p w:rsidR="002C0C1C" w:rsidRDefault="002C0C1C" w:rsidP="002C0C1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0" w:after="0"/>
      </w:pPr>
      <w:r>
        <w:t>Customers inquire about adult education or literacy</w:t>
      </w:r>
    </w:p>
    <w:p w:rsidR="002C0C1C" w:rsidRDefault="002C0C1C" w:rsidP="003D46A4">
      <w:pPr>
        <w:pStyle w:val="ListParagraph"/>
        <w:autoSpaceDE w:val="0"/>
        <w:autoSpaceDN w:val="0"/>
        <w:adjustRightInd w:val="0"/>
        <w:spacing w:before="0" w:after="0"/>
        <w:ind w:left="0"/>
      </w:pPr>
    </w:p>
    <w:p w:rsidR="00A32C75" w:rsidRPr="00A32C75" w:rsidRDefault="00A32C75" w:rsidP="00A32C75">
      <w:pPr>
        <w:pStyle w:val="ListParagraph"/>
        <w:autoSpaceDE w:val="0"/>
        <w:autoSpaceDN w:val="0"/>
        <w:adjustRightInd w:val="0"/>
        <w:spacing w:before="0" w:after="0"/>
        <w:ind w:right="720"/>
        <w:rPr>
          <w:u w:val="single"/>
        </w:rPr>
      </w:pPr>
      <w:r w:rsidRPr="00A32C75">
        <w:rPr>
          <w:b/>
          <w:u w:val="single"/>
        </w:rPr>
        <w:t>Workforce Solutions staff should explore free/low cost options within the consortium before using other funds or providers for adult education and literacy.</w:t>
      </w:r>
    </w:p>
    <w:p w:rsidR="00A32C75" w:rsidRDefault="00A32C75" w:rsidP="003D46A4">
      <w:pPr>
        <w:pStyle w:val="ListParagraph"/>
        <w:autoSpaceDE w:val="0"/>
        <w:autoSpaceDN w:val="0"/>
        <w:adjustRightInd w:val="0"/>
        <w:spacing w:before="0" w:after="0"/>
        <w:ind w:left="0"/>
      </w:pPr>
    </w:p>
    <w:p w:rsidR="00A32C75" w:rsidRDefault="00A32C75" w:rsidP="003D46A4">
      <w:pPr>
        <w:pStyle w:val="ListParagraph"/>
        <w:autoSpaceDE w:val="0"/>
        <w:autoSpaceDN w:val="0"/>
        <w:adjustRightInd w:val="0"/>
        <w:spacing w:before="0" w:after="0"/>
        <w:ind w:left="0"/>
      </w:pPr>
    </w:p>
    <w:p w:rsidR="00A32C75" w:rsidRDefault="00A32C75" w:rsidP="003D46A4">
      <w:pPr>
        <w:pStyle w:val="ListParagraph"/>
        <w:autoSpaceDE w:val="0"/>
        <w:autoSpaceDN w:val="0"/>
        <w:adjustRightInd w:val="0"/>
        <w:spacing w:before="0" w:after="0"/>
        <w:ind w:left="0"/>
      </w:pPr>
    </w:p>
    <w:p w:rsidR="00A32C75" w:rsidRPr="00A32C75" w:rsidRDefault="00A32C75" w:rsidP="00A32C75">
      <w:pPr>
        <w:autoSpaceDE w:val="0"/>
        <w:autoSpaceDN w:val="0"/>
        <w:adjustRightInd w:val="0"/>
        <w:rPr>
          <w:i/>
          <w:sz w:val="28"/>
          <w:szCs w:val="28"/>
        </w:rPr>
      </w:pPr>
      <w:r w:rsidRPr="00A32C75">
        <w:rPr>
          <w:i/>
          <w:sz w:val="28"/>
          <w:szCs w:val="28"/>
        </w:rPr>
        <w:t>Referring Customers</w:t>
      </w:r>
    </w:p>
    <w:p w:rsidR="002C0C1C" w:rsidRDefault="00AC7154" w:rsidP="003D46A4">
      <w:pPr>
        <w:pStyle w:val="ListParagraph"/>
        <w:autoSpaceDE w:val="0"/>
        <w:autoSpaceDN w:val="0"/>
        <w:adjustRightInd w:val="0"/>
        <w:spacing w:before="0" w:after="0"/>
        <w:ind w:left="0"/>
      </w:pPr>
      <w:r>
        <w:t>At the present time, staff must refer a customer to an adult education provider; you cannot make an eligibility determination or place a customer in a class.</w:t>
      </w:r>
    </w:p>
    <w:p w:rsidR="00AC7154" w:rsidRDefault="00AC7154" w:rsidP="003D46A4">
      <w:pPr>
        <w:pStyle w:val="ListParagraph"/>
        <w:autoSpaceDE w:val="0"/>
        <w:autoSpaceDN w:val="0"/>
        <w:adjustRightInd w:val="0"/>
        <w:spacing w:before="0" w:after="0"/>
        <w:ind w:left="0"/>
      </w:pPr>
    </w:p>
    <w:p w:rsidR="00AC7154" w:rsidRDefault="00AC7154" w:rsidP="00AC715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0" w:after="0"/>
      </w:pPr>
      <w:r>
        <w:t xml:space="preserve">Use the Workforce Solutions referral tool, available online at </w:t>
      </w:r>
      <w:hyperlink r:id="rId8" w:history="1">
        <w:r w:rsidRPr="002064F6">
          <w:rPr>
            <w:rStyle w:val="Hyperlink"/>
          </w:rPr>
          <w:t>www.wrksolutions.com/ael-services</w:t>
        </w:r>
      </w:hyperlink>
      <w:r>
        <w:t xml:space="preserve">.  Select the county in which the customer wants to attend class and complete the </w:t>
      </w:r>
      <w:r w:rsidRPr="00AC7154">
        <w:rPr>
          <w:i/>
        </w:rPr>
        <w:t>Contact Us</w:t>
      </w:r>
      <w:r>
        <w:t xml:space="preserve"> form.  The appropriate adult education provider will contact the customer to arrange intake and placement.</w:t>
      </w:r>
      <w:r>
        <w:br/>
      </w:r>
    </w:p>
    <w:p w:rsidR="00AC7154" w:rsidRDefault="00AC7154" w:rsidP="00AC715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0" w:after="0"/>
      </w:pPr>
      <w:r>
        <w:t>Customers may use the tool themselves, as may any partner organizations or the general public.</w:t>
      </w:r>
    </w:p>
    <w:p w:rsidR="00AC7154" w:rsidRDefault="00AC7154" w:rsidP="00AC7154">
      <w:pPr>
        <w:pStyle w:val="ListParagraph"/>
        <w:autoSpaceDE w:val="0"/>
        <w:autoSpaceDN w:val="0"/>
        <w:adjustRightInd w:val="0"/>
        <w:spacing w:before="0" w:after="0"/>
      </w:pPr>
    </w:p>
    <w:p w:rsidR="00A32C75" w:rsidRDefault="00A32C75" w:rsidP="00AC7154">
      <w:pPr>
        <w:pStyle w:val="ListParagraph"/>
        <w:autoSpaceDE w:val="0"/>
        <w:autoSpaceDN w:val="0"/>
        <w:adjustRightInd w:val="0"/>
        <w:spacing w:before="0" w:after="0"/>
      </w:pPr>
    </w:p>
    <w:p w:rsidR="00A32C75" w:rsidRDefault="00A32C75">
      <w:pPr>
        <w:spacing w:after="20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2C0C1C" w:rsidRPr="00AC7154" w:rsidRDefault="00AC7154" w:rsidP="00AC7154">
      <w:pPr>
        <w:autoSpaceDE w:val="0"/>
        <w:autoSpaceDN w:val="0"/>
        <w:adjustRightInd w:val="0"/>
        <w:rPr>
          <w:i/>
          <w:sz w:val="28"/>
          <w:szCs w:val="28"/>
        </w:rPr>
      </w:pPr>
      <w:r w:rsidRPr="00AC7154">
        <w:rPr>
          <w:i/>
          <w:sz w:val="28"/>
          <w:szCs w:val="28"/>
        </w:rPr>
        <w:lastRenderedPageBreak/>
        <w:t>Things to Know</w:t>
      </w:r>
    </w:p>
    <w:p w:rsidR="00DC5F5D" w:rsidRDefault="00AC7154" w:rsidP="00A32C75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0"/>
      </w:pPr>
      <w:r>
        <w:t>There are multiple adult education sites and classes located throughout the region, often near a customer’s residence or place of employment.</w:t>
      </w:r>
      <w:r w:rsidR="00A32C75">
        <w:t xml:space="preserve">  Classes or sites sometimes change locations, and at this time, it is best to refer the customer to the adult education provider for exact placement.</w:t>
      </w:r>
    </w:p>
    <w:p w:rsidR="00677F55" w:rsidRDefault="00DC5F5D" w:rsidP="00A32C75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0"/>
      </w:pPr>
      <w:r>
        <w:t xml:space="preserve">Many </w:t>
      </w:r>
      <w:r w:rsidR="00677F55">
        <w:t>providers offer distance learning options for customers who experience transportation issues or merely prefer the convenience of taking classes remotely</w:t>
      </w:r>
      <w:r>
        <w:t>.</w:t>
      </w:r>
    </w:p>
    <w:p w:rsidR="00DC5F5D" w:rsidRDefault="00DC5F5D" w:rsidP="00A32C75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0"/>
      </w:pPr>
      <w:r>
        <w:t>A few of our offices have</w:t>
      </w:r>
      <w:r w:rsidR="00A32C75">
        <w:t xml:space="preserve"> adult education sites in the career office.</w:t>
      </w:r>
    </w:p>
    <w:p w:rsidR="002578A8" w:rsidRDefault="00A32C75" w:rsidP="00A32C75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0"/>
      </w:pPr>
      <w:r>
        <w:t>E</w:t>
      </w:r>
      <w:r w:rsidR="002578A8">
        <w:t>mployers interested in improving the</w:t>
      </w:r>
      <w:r>
        <w:t>ir employees’ basic skills can host adult education classes on-site.</w:t>
      </w:r>
    </w:p>
    <w:p w:rsidR="001C1528" w:rsidRDefault="001C1528" w:rsidP="00A32C75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0" w:after="0"/>
      </w:pPr>
      <w:r w:rsidRPr="003E5996">
        <w:t xml:space="preserve">The Adult Education and Literacy Referral Desk Aid </w:t>
      </w:r>
      <w:proofErr w:type="gramStart"/>
      <w:r w:rsidRPr="003E5996">
        <w:t>provides</w:t>
      </w:r>
      <w:proofErr w:type="gramEnd"/>
      <w:r w:rsidRPr="003E5996">
        <w:t xml:space="preserve"> a quick overview of the referral process and may be used by customers, staff and partner organizations.</w:t>
      </w:r>
    </w:p>
    <w:p w:rsidR="002E5934" w:rsidRDefault="002E5934" w:rsidP="003D46A4">
      <w:pPr>
        <w:autoSpaceDE w:val="0"/>
        <w:autoSpaceDN w:val="0"/>
        <w:adjustRightInd w:val="0"/>
      </w:pPr>
    </w:p>
    <w:p w:rsidR="005275CB" w:rsidRDefault="005275CB" w:rsidP="003D46A4">
      <w:pPr>
        <w:autoSpaceDE w:val="0"/>
        <w:autoSpaceDN w:val="0"/>
        <w:adjustRightInd w:val="0"/>
      </w:pPr>
    </w:p>
    <w:p w:rsidR="005275CB" w:rsidRPr="005275CB" w:rsidRDefault="005275CB" w:rsidP="003D46A4">
      <w:pPr>
        <w:autoSpaceDE w:val="0"/>
        <w:autoSpaceDN w:val="0"/>
        <w:adjustRightInd w:val="0"/>
        <w:rPr>
          <w:sz w:val="36"/>
          <w:szCs w:val="36"/>
        </w:rPr>
      </w:pPr>
      <w:r w:rsidRPr="005275CB">
        <w:rPr>
          <w:sz w:val="36"/>
          <w:szCs w:val="36"/>
        </w:rPr>
        <w:t xml:space="preserve">Coming Soon </w:t>
      </w:r>
    </w:p>
    <w:p w:rsidR="008F7610" w:rsidRDefault="005275CB" w:rsidP="003D46A4">
      <w:pPr>
        <w:autoSpaceDE w:val="0"/>
        <w:autoSpaceDN w:val="0"/>
        <w:adjustRightInd w:val="0"/>
      </w:pPr>
      <w:r>
        <w:t>As we work to make better connections with adult education providers, we will:</w:t>
      </w:r>
    </w:p>
    <w:p w:rsidR="005275CB" w:rsidRDefault="005275CB" w:rsidP="005275CB">
      <w:pPr>
        <w:pStyle w:val="ListParagraph"/>
        <w:numPr>
          <w:ilvl w:val="0"/>
          <w:numId w:val="21"/>
        </w:numPr>
        <w:autoSpaceDE w:val="0"/>
        <w:autoSpaceDN w:val="0"/>
        <w:adjustRightInd w:val="0"/>
      </w:pPr>
      <w:r>
        <w:t>Expand and improve the referral tool to offer real-time and more detailed information for staff and customers on the location of individual classes</w:t>
      </w:r>
    </w:p>
    <w:p w:rsidR="005275CB" w:rsidRDefault="005275CB" w:rsidP="005275CB">
      <w:pPr>
        <w:pStyle w:val="ListParagraph"/>
        <w:numPr>
          <w:ilvl w:val="0"/>
          <w:numId w:val="21"/>
        </w:numPr>
        <w:autoSpaceDE w:val="0"/>
        <w:autoSpaceDN w:val="0"/>
        <w:adjustRightInd w:val="0"/>
      </w:pPr>
      <w:r>
        <w:t xml:space="preserve">Assist in helping </w:t>
      </w:r>
      <w:proofErr w:type="gramStart"/>
      <w:r>
        <w:t>staff from the offices, Employer Service, Financial Aid Payment Office, and Financial Aid Call Center connect</w:t>
      </w:r>
      <w:proofErr w:type="gramEnd"/>
      <w:r>
        <w:t xml:space="preserve"> with adult education staff.</w:t>
      </w:r>
    </w:p>
    <w:p w:rsidR="005275CB" w:rsidRDefault="005275CB" w:rsidP="005275CB">
      <w:pPr>
        <w:pStyle w:val="ListParagraph"/>
        <w:numPr>
          <w:ilvl w:val="0"/>
          <w:numId w:val="21"/>
        </w:numPr>
        <w:autoSpaceDE w:val="0"/>
        <w:autoSpaceDN w:val="0"/>
        <w:adjustRightInd w:val="0"/>
      </w:pPr>
      <w:r>
        <w:t>Work with the Bridging the Gaps workgroup to find better ways to integrate all service for customers</w:t>
      </w:r>
    </w:p>
    <w:p w:rsidR="005275CB" w:rsidRPr="00556BE4" w:rsidRDefault="005275CB" w:rsidP="003D46A4">
      <w:pPr>
        <w:autoSpaceDE w:val="0"/>
        <w:autoSpaceDN w:val="0"/>
        <w:adjustRightInd w:val="0"/>
      </w:pPr>
    </w:p>
    <w:p w:rsidR="004A03AC" w:rsidRDefault="004A03AC" w:rsidP="003D46A4">
      <w:pPr>
        <w:rPr>
          <w:sz w:val="36"/>
          <w:szCs w:val="36"/>
        </w:rPr>
      </w:pPr>
      <w:r>
        <w:rPr>
          <w:sz w:val="36"/>
          <w:szCs w:val="36"/>
        </w:rPr>
        <w:t>Action</w:t>
      </w:r>
    </w:p>
    <w:p w:rsidR="002E5934" w:rsidRDefault="004A03AC" w:rsidP="003D46A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 w:after="0"/>
      </w:pPr>
      <w:r>
        <w:t>M</w:t>
      </w:r>
      <w:r w:rsidRPr="00F428D0">
        <w:t xml:space="preserve">ake sure </w:t>
      </w:r>
      <w:r w:rsidR="005275CB">
        <w:t xml:space="preserve">managers, supervisors, and </w:t>
      </w:r>
      <w:r w:rsidRPr="00F428D0">
        <w:t xml:space="preserve">staff </w:t>
      </w:r>
      <w:r>
        <w:t xml:space="preserve">members </w:t>
      </w:r>
      <w:r w:rsidR="00C02BF1">
        <w:t xml:space="preserve">are familiar </w:t>
      </w:r>
      <w:r w:rsidR="002E5934">
        <w:t>with</w:t>
      </w:r>
      <w:r w:rsidR="005275CB">
        <w:t xml:space="preserve"> how to access the referral tool and make referrals for customers, as well as</w:t>
      </w:r>
      <w:r w:rsidR="002E5934">
        <w:t xml:space="preserve"> </w:t>
      </w:r>
      <w:r w:rsidR="005275CB">
        <w:t>the basics about the consortium’s adult education and literacy service</w:t>
      </w:r>
    </w:p>
    <w:p w:rsidR="004A03AC" w:rsidRDefault="002E5934" w:rsidP="003D46A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 w:after="0"/>
      </w:pPr>
      <w:r>
        <w:t xml:space="preserve">Ensure that staff members </w:t>
      </w:r>
      <w:r w:rsidR="00704B36">
        <w:t xml:space="preserve">first consider </w:t>
      </w:r>
      <w:r w:rsidR="005275CB">
        <w:t>adult education options and providers</w:t>
      </w:r>
      <w:r w:rsidR="00704B36">
        <w:t xml:space="preserve"> from within our consortium prior to </w:t>
      </w:r>
      <w:r w:rsidR="005275CB">
        <w:t>authorizing financial aid for other providers</w:t>
      </w:r>
      <w:r w:rsidR="00704B36">
        <w:t>.</w:t>
      </w:r>
    </w:p>
    <w:p w:rsidR="004A03AC" w:rsidRDefault="004A03AC" w:rsidP="003D46A4">
      <w:pPr>
        <w:autoSpaceDE w:val="0"/>
        <w:autoSpaceDN w:val="0"/>
        <w:adjustRightInd w:val="0"/>
      </w:pPr>
    </w:p>
    <w:p w:rsidR="008F7610" w:rsidRDefault="008F7610" w:rsidP="003D46A4">
      <w:pPr>
        <w:autoSpaceDE w:val="0"/>
        <w:autoSpaceDN w:val="0"/>
        <w:adjustRightInd w:val="0"/>
      </w:pPr>
    </w:p>
    <w:p w:rsidR="004A03AC" w:rsidRDefault="004A03AC" w:rsidP="003D46A4">
      <w:pPr>
        <w:autoSpaceDE w:val="0"/>
        <w:autoSpaceDN w:val="0"/>
        <w:adjustRightInd w:val="0"/>
        <w:rPr>
          <w:sz w:val="36"/>
          <w:szCs w:val="36"/>
        </w:rPr>
      </w:pPr>
      <w:r>
        <w:rPr>
          <w:sz w:val="36"/>
          <w:szCs w:val="36"/>
        </w:rPr>
        <w:t>Questions</w:t>
      </w:r>
    </w:p>
    <w:p w:rsidR="00AF308A" w:rsidRDefault="004A03AC" w:rsidP="003D46A4">
      <w:pPr>
        <w:autoSpaceDE w:val="0"/>
        <w:autoSpaceDN w:val="0"/>
        <w:adjustRightInd w:val="0"/>
      </w:pPr>
      <w:r>
        <w:t xml:space="preserve">Staff should ask questions of their supervisors first.  Direct questions for Board staff through the Issuance Q&amp;A at </w:t>
      </w:r>
      <w:hyperlink r:id="rId9" w:history="1">
        <w:r w:rsidR="00702237" w:rsidRPr="00702237">
          <w:rPr>
            <w:rStyle w:val="Hyperlink"/>
          </w:rPr>
          <w:t>http://www.wrksolutions.com/staff-resources/system-resources/contract-management</w:t>
        </w:r>
      </w:hyperlink>
      <w:r>
        <w:t xml:space="preserve">. </w:t>
      </w:r>
    </w:p>
    <w:sectPr w:rsidR="00AF308A" w:rsidSect="00FA5A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997" w:rsidRDefault="00E64997" w:rsidP="000A0BA7">
      <w:r>
        <w:separator/>
      </w:r>
    </w:p>
  </w:endnote>
  <w:endnote w:type="continuationSeparator" w:id="0">
    <w:p w:rsidR="00E64997" w:rsidRDefault="00E64997" w:rsidP="000A0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237" w:rsidRDefault="007022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384" w:rsidRDefault="005275CB" w:rsidP="005275CB">
    <w:pPr>
      <w:pStyle w:val="Footer"/>
      <w:jc w:val="right"/>
    </w:pPr>
    <w:r>
      <w:t>WS 15-05 Adult Education and Literacy</w:t>
    </w:r>
  </w:p>
  <w:sdt>
    <w:sdtPr>
      <w:id w:val="250395305"/>
      <w:docPartObj>
        <w:docPartGallery w:val="Page Numbers (Top of Page)"/>
        <w:docPartUnique/>
      </w:docPartObj>
    </w:sdtPr>
    <w:sdtContent>
      <w:p w:rsidR="005275CB" w:rsidRDefault="005275CB" w:rsidP="005275CB">
        <w:pPr>
          <w:jc w:val="right"/>
        </w:pPr>
        <w:r>
          <w:t xml:space="preserve">Page </w:t>
        </w:r>
        <w:fldSimple w:instr=" PAGE ">
          <w:r w:rsidR="00BF5A80">
            <w:rPr>
              <w:noProof/>
            </w:rPr>
            <w:t>1</w:t>
          </w:r>
        </w:fldSimple>
        <w:r>
          <w:t xml:space="preserve"> of </w:t>
        </w:r>
        <w:fldSimple w:instr=" NUMPAGES  ">
          <w:r w:rsidR="00BF5A80">
            <w:rPr>
              <w:noProof/>
            </w:rPr>
            <w:t>4</w:t>
          </w:r>
        </w:fldSimple>
      </w:p>
    </w:sdtContent>
  </w:sdt>
  <w:p w:rsidR="005275CB" w:rsidRDefault="005275C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237" w:rsidRDefault="007022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997" w:rsidRDefault="00E64997" w:rsidP="000A0BA7">
      <w:r>
        <w:separator/>
      </w:r>
    </w:p>
  </w:footnote>
  <w:footnote w:type="continuationSeparator" w:id="0">
    <w:p w:rsidR="00E64997" w:rsidRDefault="00E64997" w:rsidP="000A0B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237" w:rsidRDefault="0070223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237" w:rsidRDefault="0070223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237" w:rsidRDefault="0070223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7B8C"/>
    <w:multiLevelType w:val="hybridMultilevel"/>
    <w:tmpl w:val="C282722A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07C01112"/>
    <w:multiLevelType w:val="multilevel"/>
    <w:tmpl w:val="2D4AD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5E03F1"/>
    <w:multiLevelType w:val="hybridMultilevel"/>
    <w:tmpl w:val="CD248838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>
    <w:nsid w:val="12E475F5"/>
    <w:multiLevelType w:val="hybridMultilevel"/>
    <w:tmpl w:val="56485F7E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">
    <w:nsid w:val="13654470"/>
    <w:multiLevelType w:val="hybridMultilevel"/>
    <w:tmpl w:val="7E226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132CCB"/>
    <w:multiLevelType w:val="hybridMultilevel"/>
    <w:tmpl w:val="656679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64582F"/>
    <w:multiLevelType w:val="hybridMultilevel"/>
    <w:tmpl w:val="AF283142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7">
    <w:nsid w:val="25EB62A4"/>
    <w:multiLevelType w:val="hybridMultilevel"/>
    <w:tmpl w:val="A0E62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C829E9"/>
    <w:multiLevelType w:val="hybridMultilevel"/>
    <w:tmpl w:val="F41EDC94"/>
    <w:lvl w:ilvl="0" w:tplc="04090001">
      <w:start w:val="1"/>
      <w:numFmt w:val="bullet"/>
      <w:lvlText w:val=""/>
      <w:lvlJc w:val="left"/>
      <w:pPr>
        <w:ind w:left="22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9" w:hanging="360"/>
      </w:pPr>
      <w:rPr>
        <w:rFonts w:ascii="Wingdings" w:hAnsi="Wingdings" w:hint="default"/>
      </w:rPr>
    </w:lvl>
  </w:abstractNum>
  <w:abstractNum w:abstractNumId="9">
    <w:nsid w:val="38847194"/>
    <w:multiLevelType w:val="hybridMultilevel"/>
    <w:tmpl w:val="123E1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F457CB9"/>
    <w:multiLevelType w:val="hybridMultilevel"/>
    <w:tmpl w:val="3CACE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646E5F"/>
    <w:multiLevelType w:val="hybridMultilevel"/>
    <w:tmpl w:val="16681712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2">
    <w:nsid w:val="46E45598"/>
    <w:multiLevelType w:val="hybridMultilevel"/>
    <w:tmpl w:val="EC5AC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8A0013"/>
    <w:multiLevelType w:val="hybridMultilevel"/>
    <w:tmpl w:val="720A8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E77323"/>
    <w:multiLevelType w:val="hybridMultilevel"/>
    <w:tmpl w:val="C7020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DE0951"/>
    <w:multiLevelType w:val="hybridMultilevel"/>
    <w:tmpl w:val="4238C9BC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6">
    <w:nsid w:val="5D88036C"/>
    <w:multiLevelType w:val="hybridMultilevel"/>
    <w:tmpl w:val="10E201EE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7">
    <w:nsid w:val="5FCB3437"/>
    <w:multiLevelType w:val="hybridMultilevel"/>
    <w:tmpl w:val="D2F81F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1B73FB"/>
    <w:multiLevelType w:val="hybridMultilevel"/>
    <w:tmpl w:val="70668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71C7A78"/>
    <w:multiLevelType w:val="hybridMultilevel"/>
    <w:tmpl w:val="1F4A9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454A12"/>
    <w:multiLevelType w:val="hybridMultilevel"/>
    <w:tmpl w:val="0C4AB8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19"/>
  </w:num>
  <w:num w:numId="5">
    <w:abstractNumId w:val="10"/>
  </w:num>
  <w:num w:numId="6">
    <w:abstractNumId w:val="18"/>
  </w:num>
  <w:num w:numId="7">
    <w:abstractNumId w:val="1"/>
  </w:num>
  <w:num w:numId="8">
    <w:abstractNumId w:val="13"/>
  </w:num>
  <w:num w:numId="9">
    <w:abstractNumId w:val="16"/>
  </w:num>
  <w:num w:numId="10">
    <w:abstractNumId w:val="6"/>
  </w:num>
  <w:num w:numId="11">
    <w:abstractNumId w:val="3"/>
  </w:num>
  <w:num w:numId="12">
    <w:abstractNumId w:val="8"/>
  </w:num>
  <w:num w:numId="13">
    <w:abstractNumId w:val="0"/>
  </w:num>
  <w:num w:numId="14">
    <w:abstractNumId w:val="11"/>
  </w:num>
  <w:num w:numId="15">
    <w:abstractNumId w:val="2"/>
  </w:num>
  <w:num w:numId="16">
    <w:abstractNumId w:val="15"/>
  </w:num>
  <w:num w:numId="17">
    <w:abstractNumId w:val="5"/>
  </w:num>
  <w:num w:numId="18">
    <w:abstractNumId w:val="20"/>
  </w:num>
  <w:num w:numId="19">
    <w:abstractNumId w:val="12"/>
  </w:num>
  <w:num w:numId="20">
    <w:abstractNumId w:val="7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025A"/>
    <w:rsid w:val="00061F24"/>
    <w:rsid w:val="00090858"/>
    <w:rsid w:val="000A0BA7"/>
    <w:rsid w:val="000A485B"/>
    <w:rsid w:val="000B2B79"/>
    <w:rsid w:val="000C0FBE"/>
    <w:rsid w:val="00126A0C"/>
    <w:rsid w:val="00157A5F"/>
    <w:rsid w:val="00163BFB"/>
    <w:rsid w:val="001C1528"/>
    <w:rsid w:val="001D3739"/>
    <w:rsid w:val="0020264E"/>
    <w:rsid w:val="00224873"/>
    <w:rsid w:val="002578A8"/>
    <w:rsid w:val="00293769"/>
    <w:rsid w:val="002A1F61"/>
    <w:rsid w:val="002C0C1C"/>
    <w:rsid w:val="002E5934"/>
    <w:rsid w:val="00334E38"/>
    <w:rsid w:val="003902CE"/>
    <w:rsid w:val="003B5A9C"/>
    <w:rsid w:val="003D46A4"/>
    <w:rsid w:val="003D7C90"/>
    <w:rsid w:val="003E2CA7"/>
    <w:rsid w:val="003E5996"/>
    <w:rsid w:val="004332AA"/>
    <w:rsid w:val="00497F93"/>
    <w:rsid w:val="004A03AC"/>
    <w:rsid w:val="004D272E"/>
    <w:rsid w:val="004E491D"/>
    <w:rsid w:val="005275CB"/>
    <w:rsid w:val="00583367"/>
    <w:rsid w:val="00587384"/>
    <w:rsid w:val="005C4612"/>
    <w:rsid w:val="005E0D6A"/>
    <w:rsid w:val="00603B92"/>
    <w:rsid w:val="00614A52"/>
    <w:rsid w:val="00663E2A"/>
    <w:rsid w:val="00677F55"/>
    <w:rsid w:val="006C11D0"/>
    <w:rsid w:val="006D10C2"/>
    <w:rsid w:val="00702237"/>
    <w:rsid w:val="00704B36"/>
    <w:rsid w:val="007436D6"/>
    <w:rsid w:val="00787735"/>
    <w:rsid w:val="007D5468"/>
    <w:rsid w:val="0082025A"/>
    <w:rsid w:val="00823C4A"/>
    <w:rsid w:val="008C6A16"/>
    <w:rsid w:val="008D5AAF"/>
    <w:rsid w:val="008F7610"/>
    <w:rsid w:val="00906E11"/>
    <w:rsid w:val="00915E5A"/>
    <w:rsid w:val="00951EBC"/>
    <w:rsid w:val="0097211B"/>
    <w:rsid w:val="009E4F24"/>
    <w:rsid w:val="00A0319A"/>
    <w:rsid w:val="00A166E3"/>
    <w:rsid w:val="00A32C75"/>
    <w:rsid w:val="00AC7154"/>
    <w:rsid w:val="00AF03F0"/>
    <w:rsid w:val="00AF308A"/>
    <w:rsid w:val="00BF5A80"/>
    <w:rsid w:val="00C02BF1"/>
    <w:rsid w:val="00CB4DF0"/>
    <w:rsid w:val="00CB7680"/>
    <w:rsid w:val="00CE3E74"/>
    <w:rsid w:val="00D0711A"/>
    <w:rsid w:val="00D24CCD"/>
    <w:rsid w:val="00D565A6"/>
    <w:rsid w:val="00D84AE6"/>
    <w:rsid w:val="00D9474D"/>
    <w:rsid w:val="00DB51E9"/>
    <w:rsid w:val="00DC5F5D"/>
    <w:rsid w:val="00DD0805"/>
    <w:rsid w:val="00DD2DC8"/>
    <w:rsid w:val="00E64997"/>
    <w:rsid w:val="00E660D5"/>
    <w:rsid w:val="00F807D6"/>
    <w:rsid w:val="00F831D9"/>
    <w:rsid w:val="00F942F6"/>
    <w:rsid w:val="00FA5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qFormat/>
    <w:rsid w:val="004A03AC"/>
    <w:pPr>
      <w:keepNext/>
      <w:pBdr>
        <w:bottom w:val="single" w:sz="4" w:space="10" w:color="auto"/>
      </w:pBdr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A0B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0BA7"/>
  </w:style>
  <w:style w:type="paragraph" w:styleId="Footer">
    <w:name w:val="footer"/>
    <w:basedOn w:val="Normal"/>
    <w:link w:val="FooterChar"/>
    <w:uiPriority w:val="99"/>
    <w:semiHidden/>
    <w:unhideWhenUsed/>
    <w:rsid w:val="000A0B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0BA7"/>
  </w:style>
  <w:style w:type="character" w:customStyle="1" w:styleId="Heading7Char">
    <w:name w:val="Heading 7 Char"/>
    <w:basedOn w:val="DefaultParagraphFont"/>
    <w:link w:val="Heading7"/>
    <w:uiPriority w:val="9"/>
    <w:rsid w:val="004A03AC"/>
    <w:rPr>
      <w:rFonts w:ascii="Calibri" w:eastAsia="Times New Roman" w:hAnsi="Calibri" w:cs="Times New Roman"/>
      <w:sz w:val="24"/>
      <w:szCs w:val="24"/>
    </w:rPr>
  </w:style>
  <w:style w:type="character" w:styleId="Hyperlink">
    <w:name w:val="Hyperlink"/>
    <w:rsid w:val="004A03A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03AC"/>
    <w:pPr>
      <w:spacing w:before="240" w:after="240"/>
      <w:ind w:left="720" w:right="158"/>
    </w:pPr>
  </w:style>
  <w:style w:type="character" w:styleId="CommentReference">
    <w:name w:val="annotation reference"/>
    <w:basedOn w:val="DefaultParagraphFont"/>
    <w:uiPriority w:val="99"/>
    <w:semiHidden/>
    <w:unhideWhenUsed/>
    <w:rsid w:val="004A03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03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03A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3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3AC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436D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7436D6"/>
    <w:rPr>
      <w:b/>
      <w:bCs/>
    </w:rPr>
  </w:style>
  <w:style w:type="character" w:customStyle="1" w:styleId="apple-converted-space">
    <w:name w:val="apple-converted-space"/>
    <w:basedOn w:val="DefaultParagraphFont"/>
    <w:rsid w:val="007436D6"/>
  </w:style>
  <w:style w:type="character" w:styleId="HTMLAcronym">
    <w:name w:val="HTML Acronym"/>
    <w:basedOn w:val="DefaultParagraphFont"/>
    <w:uiPriority w:val="99"/>
    <w:semiHidden/>
    <w:unhideWhenUsed/>
    <w:rsid w:val="007436D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76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768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63BF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ksolutions.com/ael-service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wrksolutions.com/staff-resources/system-resources/contract-managemen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Houston-Galveston Area Council</Company>
  <LinksUpToDate>false</LinksUpToDate>
  <CharactersWithSpaces>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15-05 Adult Education and Literacy </dc:title>
  <dc:subject>15-05 Adult Education and Literacy </dc:subject>
  <dc:creator>fortune</dc:creator>
  <cp:keywords>15-05, Adult Education and Literacy </cp:keywords>
  <cp:lastModifiedBy>nguyend</cp:lastModifiedBy>
  <cp:revision>3</cp:revision>
  <dcterms:created xsi:type="dcterms:W3CDTF">2015-03-02T20:12:00Z</dcterms:created>
  <dcterms:modified xsi:type="dcterms:W3CDTF">2015-03-02T20:13:00Z</dcterms:modified>
  <cp:category>Issuances</cp:category>
</cp:coreProperties>
</file>