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5BEFE" w14:textId="2E1A9FC3" w:rsidR="00DF15B6" w:rsidRDefault="00DF15B6">
      <w:pPr>
        <w:rPr>
          <w:sz w:val="52"/>
          <w:szCs w:val="52"/>
        </w:rPr>
      </w:pPr>
      <w:r>
        <w:tab/>
      </w:r>
      <w:r w:rsidR="00AF6793">
        <w:rPr>
          <w:noProof/>
        </w:rPr>
        <w:drawing>
          <wp:inline distT="0" distB="0" distL="0" distR="0" wp14:anchorId="7915DB6E" wp14:editId="56900AB6">
            <wp:extent cx="2077974" cy="514350"/>
            <wp:effectExtent l="0" t="0" r="0" b="0"/>
            <wp:docPr id="5" name="Picture 5" descr="Workforce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orkforce Soluti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13" cy="51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49" w:type="dxa"/>
        <w:tblLayout w:type="fixed"/>
        <w:tblLook w:val="0000" w:firstRow="0" w:lastRow="0" w:firstColumn="0" w:lastColumn="0" w:noHBand="0" w:noVBand="0"/>
      </w:tblPr>
      <w:tblGrid>
        <w:gridCol w:w="6750"/>
        <w:gridCol w:w="3199"/>
      </w:tblGrid>
      <w:tr w:rsidR="00DA3ECD" w:rsidRPr="00E01EF5" w14:paraId="72A4D779" w14:textId="77777777" w:rsidTr="00EE6419">
        <w:trPr>
          <w:trHeight w:val="194"/>
        </w:trPr>
        <w:tc>
          <w:tcPr>
            <w:tcW w:w="6750" w:type="dxa"/>
            <w:tcBorders>
              <w:right w:val="single" w:sz="4" w:space="0" w:color="auto"/>
            </w:tcBorders>
          </w:tcPr>
          <w:p w14:paraId="6DDCDAFB" w14:textId="77777777" w:rsidR="00DA3ECD" w:rsidRPr="00594895" w:rsidRDefault="00DA3ECD">
            <w:pPr>
              <w:rPr>
                <w:rFonts w:ascii="CG Times" w:hAnsi="CG Times" w:cs="CG Times"/>
                <w:b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EAD" w14:textId="258A36AC" w:rsidR="00DA3ECD" w:rsidRPr="00241BE6" w:rsidRDefault="00DA3ECD" w:rsidP="000A121D">
            <w:pPr>
              <w:jc w:val="center"/>
              <w:rPr>
                <w:b/>
              </w:rPr>
            </w:pPr>
            <w:r w:rsidRPr="00241BE6">
              <w:rPr>
                <w:b/>
              </w:rPr>
              <w:t xml:space="preserve">WS </w:t>
            </w:r>
            <w:r w:rsidR="00DE3B99">
              <w:rPr>
                <w:b/>
              </w:rPr>
              <w:t>21-02</w:t>
            </w:r>
            <w:r w:rsidR="00FB20AB">
              <w:rPr>
                <w:b/>
              </w:rPr>
              <w:t xml:space="preserve"> Change </w:t>
            </w:r>
            <w:r w:rsidR="00AF6793">
              <w:rPr>
                <w:b/>
              </w:rPr>
              <w:t>2</w:t>
            </w:r>
          </w:p>
        </w:tc>
      </w:tr>
      <w:tr w:rsidR="00DA3ECD" w:rsidRPr="00E01EF5" w14:paraId="235197FB" w14:textId="77777777" w:rsidTr="00EE6419">
        <w:trPr>
          <w:trHeight w:val="233"/>
        </w:trPr>
        <w:tc>
          <w:tcPr>
            <w:tcW w:w="6750" w:type="dxa"/>
            <w:tcBorders>
              <w:right w:val="single" w:sz="4" w:space="0" w:color="auto"/>
            </w:tcBorders>
          </w:tcPr>
          <w:p w14:paraId="38EB3AFD" w14:textId="77777777" w:rsidR="00DA3ECD" w:rsidRPr="00594895" w:rsidRDefault="00DA3ECD">
            <w:pPr>
              <w:rPr>
                <w:rFonts w:ascii="CG Times" w:hAnsi="CG Times" w:cs="CG Times"/>
                <w:b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378" w14:textId="2A6CC863" w:rsidR="00DA3ECD" w:rsidRPr="00241BE6" w:rsidRDefault="2B76171A" w:rsidP="005E1269">
            <w:pPr>
              <w:pStyle w:val="Heading8"/>
            </w:pPr>
            <w:r w:rsidRPr="63EEBA6F">
              <w:t>Released</w:t>
            </w:r>
            <w:r w:rsidR="006B13F0" w:rsidRPr="63EEBA6F">
              <w:t xml:space="preserve">: </w:t>
            </w:r>
            <w:r w:rsidR="00EE6419">
              <w:t>October 25, 2022</w:t>
            </w:r>
          </w:p>
        </w:tc>
      </w:tr>
      <w:tr w:rsidR="00E928C6" w:rsidRPr="00E01EF5" w14:paraId="539FB4B6" w14:textId="77777777" w:rsidTr="00EE6419">
        <w:trPr>
          <w:trHeight w:val="260"/>
        </w:trPr>
        <w:tc>
          <w:tcPr>
            <w:tcW w:w="6750" w:type="dxa"/>
            <w:tcBorders>
              <w:right w:val="single" w:sz="4" w:space="0" w:color="auto"/>
            </w:tcBorders>
          </w:tcPr>
          <w:p w14:paraId="0B975EC9" w14:textId="77777777" w:rsidR="00E928C6" w:rsidRPr="00594895" w:rsidRDefault="00E928C6">
            <w:pPr>
              <w:rPr>
                <w:rFonts w:ascii="CG Times" w:hAnsi="CG Times" w:cs="CG Times"/>
                <w:b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95B" w14:textId="30C5659A" w:rsidR="00E928C6" w:rsidRDefault="00E928C6" w:rsidP="00DA3ECD">
            <w:pPr>
              <w:jc w:val="center"/>
              <w:rPr>
                <w:b/>
              </w:rPr>
            </w:pPr>
            <w:r>
              <w:rPr>
                <w:b/>
              </w:rPr>
              <w:t>Effective: Immediately</w:t>
            </w:r>
          </w:p>
        </w:tc>
      </w:tr>
      <w:tr w:rsidR="00DA3ECD" w:rsidRPr="00E01EF5" w14:paraId="2497CA6A" w14:textId="77777777" w:rsidTr="00EE6419">
        <w:trPr>
          <w:trHeight w:val="194"/>
        </w:trPr>
        <w:tc>
          <w:tcPr>
            <w:tcW w:w="6750" w:type="dxa"/>
            <w:tcBorders>
              <w:right w:val="single" w:sz="4" w:space="0" w:color="auto"/>
            </w:tcBorders>
          </w:tcPr>
          <w:p w14:paraId="0C40334E" w14:textId="77777777" w:rsidR="00DA3ECD" w:rsidRPr="00594895" w:rsidRDefault="00DA3ECD">
            <w:pPr>
              <w:rPr>
                <w:rFonts w:ascii="CG Times" w:hAnsi="CG Times" w:cs="CG Times"/>
                <w:b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F6E1" w14:textId="77777777" w:rsidR="00DA3ECD" w:rsidRPr="00241BE6" w:rsidRDefault="007807BB" w:rsidP="00DA3ECD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DA3ECD" w:rsidRPr="00E01EF5" w14:paraId="437124FE" w14:textId="77777777" w:rsidTr="00EE6419">
        <w:trPr>
          <w:trHeight w:val="194"/>
        </w:trPr>
        <w:tc>
          <w:tcPr>
            <w:tcW w:w="6750" w:type="dxa"/>
            <w:tcBorders>
              <w:right w:val="single" w:sz="4" w:space="0" w:color="auto"/>
            </w:tcBorders>
          </w:tcPr>
          <w:p w14:paraId="6E3D1295" w14:textId="77777777" w:rsidR="00DA3ECD" w:rsidRPr="00594895" w:rsidRDefault="00DA3ECD">
            <w:pPr>
              <w:rPr>
                <w:rFonts w:ascii="CG Times" w:hAnsi="CG Times" w:cs="CG Times"/>
                <w:b/>
              </w:rPr>
            </w:pP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24F" w14:textId="77777777" w:rsidR="00DA3ECD" w:rsidRPr="000A2585" w:rsidRDefault="00DA3ECD" w:rsidP="00DA3ECD">
            <w:pPr>
              <w:jc w:val="center"/>
              <w:rPr>
                <w:b/>
              </w:rPr>
            </w:pPr>
            <w:r w:rsidRPr="000A2585">
              <w:rPr>
                <w:b/>
              </w:rPr>
              <w:t>Expires:  Continuing</w:t>
            </w:r>
          </w:p>
        </w:tc>
      </w:tr>
      <w:tr w:rsidR="00DA3ECD" w:rsidRPr="00E01EF5" w14:paraId="64B23950" w14:textId="77777777" w:rsidTr="00EE6419">
        <w:trPr>
          <w:gridAfter w:val="1"/>
          <w:wAfter w:w="3199" w:type="dxa"/>
          <w:trHeight w:val="194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66A50B5F" w14:textId="77777777" w:rsidR="00DA3ECD" w:rsidRPr="00E01EF5" w:rsidRDefault="00DA3ECD">
            <w:pPr>
              <w:rPr>
                <w:rFonts w:ascii="CG Times" w:hAnsi="CG Times" w:cs="CG Times"/>
              </w:rPr>
            </w:pPr>
          </w:p>
        </w:tc>
      </w:tr>
    </w:tbl>
    <w:p w14:paraId="244DB14B" w14:textId="77777777" w:rsidR="00DF15B6" w:rsidRDefault="00DF15B6">
      <w:pPr>
        <w:pStyle w:val="Heading1"/>
        <w:keepNext/>
        <w:tabs>
          <w:tab w:val="left" w:pos="1080"/>
        </w:tabs>
        <w:ind w:left="1080" w:hanging="1080"/>
      </w:pPr>
      <w:r>
        <w:rPr>
          <w:smallCaps/>
        </w:rPr>
        <w:t>To:</w:t>
      </w:r>
      <w:r>
        <w:t xml:space="preserve">  </w:t>
      </w:r>
      <w:r>
        <w:tab/>
        <w:t>Career Office Contractors</w:t>
      </w:r>
    </w:p>
    <w:p w14:paraId="53974E0E" w14:textId="099BEC5E" w:rsidR="00F8530C" w:rsidRDefault="00F8530C" w:rsidP="00F8530C">
      <w:pPr>
        <w:pStyle w:val="Heading1"/>
        <w:keepNext/>
        <w:tabs>
          <w:tab w:val="left" w:pos="1080"/>
        </w:tabs>
        <w:ind w:left="1080" w:hanging="1080"/>
      </w:pPr>
      <w:r>
        <w:tab/>
        <w:t>Financi</w:t>
      </w:r>
      <w:r w:rsidRPr="003D108E">
        <w:t xml:space="preserve">al Aid </w:t>
      </w:r>
      <w:r w:rsidR="00410D0D">
        <w:t>Support Center</w:t>
      </w:r>
    </w:p>
    <w:p w14:paraId="3DC78301" w14:textId="0D8CF092" w:rsidR="00944706" w:rsidRPr="00944706" w:rsidRDefault="00944706" w:rsidP="00944706">
      <w:pPr>
        <w:pStyle w:val="Heading1"/>
        <w:keepNext/>
        <w:tabs>
          <w:tab w:val="left" w:pos="1080"/>
        </w:tabs>
        <w:ind w:left="1080" w:hanging="1080"/>
      </w:pPr>
      <w:r>
        <w:tab/>
        <w:t>Financial Aid Payment Office</w:t>
      </w:r>
      <w:r w:rsidR="00DD7AE2">
        <w:br/>
      </w:r>
    </w:p>
    <w:p w14:paraId="6E9A57AF" w14:textId="77777777" w:rsidR="00DF15B6" w:rsidRPr="003D108E" w:rsidRDefault="00DF15B6">
      <w:pPr>
        <w:tabs>
          <w:tab w:val="left" w:pos="1080"/>
        </w:tabs>
        <w:ind w:left="1080" w:hanging="1080"/>
        <w:rPr>
          <w:sz w:val="18"/>
          <w:szCs w:val="18"/>
        </w:rPr>
      </w:pPr>
      <w:r w:rsidRPr="003D108E">
        <w:tab/>
      </w:r>
      <w:r w:rsidRPr="003D108E">
        <w:tab/>
      </w:r>
    </w:p>
    <w:p w14:paraId="71207C34" w14:textId="6028D71A" w:rsidR="00AF6793" w:rsidRDefault="00DF15B6">
      <w:pPr>
        <w:tabs>
          <w:tab w:val="left" w:pos="1080"/>
        </w:tabs>
        <w:ind w:left="1080" w:hanging="1080"/>
      </w:pPr>
      <w:r>
        <w:rPr>
          <w:smallCaps/>
        </w:rPr>
        <w:t>From:</w:t>
      </w:r>
      <w:r>
        <w:tab/>
      </w:r>
      <w:r w:rsidR="00AF6793">
        <w:t>Juliet Stipeche</w:t>
      </w:r>
    </w:p>
    <w:p w14:paraId="7AD1447D" w14:textId="0649CCAF" w:rsidR="00F8530C" w:rsidRDefault="00AF6793">
      <w:pPr>
        <w:tabs>
          <w:tab w:val="left" w:pos="1080"/>
        </w:tabs>
        <w:ind w:left="1080" w:hanging="1080"/>
      </w:pPr>
      <w:r>
        <w:tab/>
      </w:r>
      <w:r w:rsidR="00944706">
        <w:t>Brenda Williams</w:t>
      </w:r>
    </w:p>
    <w:p w14:paraId="763018B4" w14:textId="048BA049" w:rsidR="00D93F10" w:rsidRDefault="00D93F10">
      <w:pPr>
        <w:tabs>
          <w:tab w:val="left" w:pos="1080"/>
        </w:tabs>
        <w:ind w:left="1080" w:hanging="1080"/>
      </w:pPr>
      <w:r>
        <w:tab/>
        <w:t>Rebecca Neudecker</w:t>
      </w:r>
    </w:p>
    <w:p w14:paraId="493D680B" w14:textId="4CD0C42D" w:rsidR="00DF15B6" w:rsidRDefault="00DF15B6">
      <w:pPr>
        <w:tabs>
          <w:tab w:val="left" w:pos="1080"/>
        </w:tabs>
        <w:ind w:left="1080" w:hanging="1080"/>
      </w:pPr>
      <w:r>
        <w:tab/>
      </w:r>
    </w:p>
    <w:p w14:paraId="53CD58EB" w14:textId="77777777" w:rsidR="00DF15B6" w:rsidRPr="003D108E" w:rsidRDefault="00DF15B6">
      <w:pPr>
        <w:tabs>
          <w:tab w:val="left" w:pos="1080"/>
        </w:tabs>
        <w:ind w:left="1080" w:hanging="1080"/>
        <w:rPr>
          <w:sz w:val="18"/>
          <w:szCs w:val="18"/>
        </w:rPr>
      </w:pPr>
      <w:r>
        <w:tab/>
      </w:r>
      <w:r>
        <w:tab/>
      </w:r>
    </w:p>
    <w:p w14:paraId="07D910EE" w14:textId="467EF784" w:rsidR="00DF15B6" w:rsidRDefault="00DF15B6" w:rsidP="00B147B0">
      <w:pPr>
        <w:pStyle w:val="Heading7"/>
        <w:keepNext/>
        <w:pBdr>
          <w:bottom w:val="single" w:sz="6" w:space="4" w:color="auto"/>
        </w:pBdr>
        <w:tabs>
          <w:tab w:val="left" w:pos="1440"/>
        </w:tabs>
        <w:ind w:left="990" w:hanging="990"/>
        <w:rPr>
          <w:b/>
          <w:bCs/>
        </w:rPr>
      </w:pPr>
      <w:r>
        <w:rPr>
          <w:smallCaps/>
        </w:rPr>
        <w:t>Subject:</w:t>
      </w:r>
      <w:r>
        <w:t xml:space="preserve">  </w:t>
      </w:r>
      <w:r w:rsidR="00260087">
        <w:t>Tra</w:t>
      </w:r>
      <w:r w:rsidR="00B77EBA">
        <w:t>de</w:t>
      </w:r>
      <w:r w:rsidR="00260087">
        <w:t xml:space="preserve"> Adjustment Assistance (TAA)</w:t>
      </w:r>
      <w:r w:rsidR="00DD4855">
        <w:t xml:space="preserve"> - </w:t>
      </w:r>
      <w:r>
        <w:t xml:space="preserve">Procedures for </w:t>
      </w:r>
      <w:r w:rsidR="000972EB">
        <w:t>Adversely</w:t>
      </w:r>
      <w:r w:rsidR="00213134">
        <w:t xml:space="preserve"> </w:t>
      </w:r>
      <w:r>
        <w:t xml:space="preserve">Affected </w:t>
      </w:r>
      <w:r w:rsidR="00F5272D">
        <w:t>Workers</w:t>
      </w:r>
      <w:r w:rsidR="00B147B0">
        <w:t xml:space="preserve"> Change</w:t>
      </w:r>
      <w:r w:rsidR="00F5448C">
        <w:t xml:space="preserve"> </w:t>
      </w:r>
      <w:r w:rsidR="00AF6793">
        <w:t>2</w:t>
      </w:r>
    </w:p>
    <w:p w14:paraId="2D6B40F8" w14:textId="77777777" w:rsidR="00DF15B6" w:rsidRPr="00073693" w:rsidRDefault="00DF15B6">
      <w:pPr>
        <w:rPr>
          <w:rFonts w:cs="TimesNewRoman"/>
          <w:color w:val="000000"/>
        </w:rPr>
      </w:pPr>
    </w:p>
    <w:p w14:paraId="06A84104" w14:textId="77777777" w:rsidR="00DF15B6" w:rsidRDefault="00DF15B6">
      <w:pPr>
        <w:pStyle w:val="Heading5"/>
        <w:spacing w:after="60"/>
        <w:rPr>
          <w:sz w:val="36"/>
          <w:szCs w:val="36"/>
        </w:rPr>
      </w:pPr>
      <w:r>
        <w:rPr>
          <w:sz w:val="36"/>
          <w:szCs w:val="36"/>
        </w:rPr>
        <w:t>Purpose</w:t>
      </w:r>
    </w:p>
    <w:p w14:paraId="7FD2DE89" w14:textId="537DEC22" w:rsidR="00DF15B6" w:rsidRDefault="00AA1370" w:rsidP="00DA5A79">
      <w:pPr>
        <w:rPr>
          <w:rFonts w:cs="TimesNewRoman"/>
          <w:color w:val="000000"/>
        </w:rPr>
      </w:pPr>
      <w:r>
        <w:rPr>
          <w:rFonts w:cs="TimesNewRoman"/>
          <w:color w:val="000000"/>
        </w:rPr>
        <w:t>To</w:t>
      </w:r>
      <w:r w:rsidR="00E16A1F">
        <w:rPr>
          <w:rFonts w:cs="TimesNewRoman"/>
          <w:color w:val="000000"/>
        </w:rPr>
        <w:t xml:space="preserve"> update</w:t>
      </w:r>
      <w:r w:rsidR="006743E8">
        <w:rPr>
          <w:rFonts w:cs="TimesNewRoman"/>
          <w:color w:val="000000"/>
        </w:rPr>
        <w:t xml:space="preserve"> </w:t>
      </w:r>
      <w:r w:rsidR="00DE1F65">
        <w:rPr>
          <w:rFonts w:cs="TimesNewRoman"/>
          <w:color w:val="000000"/>
        </w:rPr>
        <w:t>procedures</w:t>
      </w:r>
      <w:r w:rsidR="006743E8">
        <w:rPr>
          <w:rFonts w:cs="TimesNewRoman"/>
          <w:color w:val="000000"/>
        </w:rPr>
        <w:t xml:space="preserve"> </w:t>
      </w:r>
      <w:r w:rsidR="00F90733">
        <w:rPr>
          <w:rFonts w:cs="TimesNewRoman"/>
          <w:color w:val="000000"/>
        </w:rPr>
        <w:t>for</w:t>
      </w:r>
      <w:r w:rsidR="006743E8">
        <w:rPr>
          <w:rFonts w:cs="TimesNewRoman"/>
          <w:color w:val="000000"/>
        </w:rPr>
        <w:t xml:space="preserve"> helping </w:t>
      </w:r>
      <w:r w:rsidR="00DF15B6" w:rsidRPr="000623D2">
        <w:rPr>
          <w:rFonts w:cs="TimesNewRoman"/>
          <w:color w:val="000000"/>
        </w:rPr>
        <w:t>customers eligible for financial aid</w:t>
      </w:r>
      <w:r w:rsidR="00DA5A79">
        <w:rPr>
          <w:rFonts w:cs="TimesNewRoman"/>
          <w:color w:val="000000"/>
        </w:rPr>
        <w:t xml:space="preserve"> using Trade Act resources</w:t>
      </w:r>
      <w:r w:rsidR="006F127B">
        <w:rPr>
          <w:rFonts w:cs="TimesNewRoman"/>
          <w:color w:val="000000"/>
        </w:rPr>
        <w:t xml:space="preserve"> - </w:t>
      </w:r>
      <w:r w:rsidR="00DA5A79">
        <w:rPr>
          <w:rFonts w:cs="TimesNewRoman"/>
          <w:color w:val="000000"/>
        </w:rPr>
        <w:t>T</w:t>
      </w:r>
      <w:r w:rsidR="00DF15B6" w:rsidRPr="000623D2">
        <w:rPr>
          <w:rFonts w:cs="TimesNewRoman"/>
          <w:color w:val="000000"/>
        </w:rPr>
        <w:t>rade</w:t>
      </w:r>
      <w:r w:rsidR="00DF15B6">
        <w:rPr>
          <w:rFonts w:cs="TimesNewRoman"/>
          <w:color w:val="000000"/>
        </w:rPr>
        <w:t xml:space="preserve"> </w:t>
      </w:r>
      <w:r w:rsidR="00DA5A79">
        <w:rPr>
          <w:rFonts w:cs="TimesNewRoman"/>
          <w:color w:val="000000"/>
        </w:rPr>
        <w:t xml:space="preserve">Adjustment Assistance </w:t>
      </w:r>
      <w:r w:rsidR="00DF15B6" w:rsidRPr="000623D2">
        <w:rPr>
          <w:rFonts w:cs="TimesNewRoman"/>
          <w:color w:val="000000"/>
        </w:rPr>
        <w:t>(TAA) and Trade Readjustment Allowances (TRA</w:t>
      </w:r>
      <w:r w:rsidR="00DF15B6">
        <w:rPr>
          <w:rFonts w:cs="TimesNewRoman"/>
          <w:color w:val="000000"/>
        </w:rPr>
        <w:t>)</w:t>
      </w:r>
      <w:r w:rsidR="00161822">
        <w:rPr>
          <w:rFonts w:cs="TimesNewRoman"/>
          <w:color w:val="000000"/>
        </w:rPr>
        <w:t>.</w:t>
      </w:r>
    </w:p>
    <w:p w14:paraId="6A0F0BA1" w14:textId="77777777" w:rsidR="00DF3865" w:rsidRDefault="00DF3865" w:rsidP="00DA5A79">
      <w:pPr>
        <w:rPr>
          <w:rFonts w:cs="TimesNewRoman"/>
          <w:color w:val="000000"/>
        </w:rPr>
      </w:pPr>
    </w:p>
    <w:p w14:paraId="0BD4CEB5" w14:textId="75BDD241" w:rsidR="00DF3865" w:rsidRDefault="00DF3865" w:rsidP="00DA5A79">
      <w:pPr>
        <w:rPr>
          <w:rFonts w:cs="TimesNewRoman"/>
          <w:color w:val="000000"/>
        </w:rPr>
      </w:pPr>
      <w:r>
        <w:rPr>
          <w:rFonts w:cs="TimesNewRoman"/>
          <w:color w:val="000000"/>
        </w:rPr>
        <w:t xml:space="preserve">This issuance </w:t>
      </w:r>
      <w:r w:rsidR="00E3547D">
        <w:rPr>
          <w:rFonts w:cs="TimesNewRoman"/>
          <w:color w:val="000000"/>
        </w:rPr>
        <w:t xml:space="preserve">updates </w:t>
      </w:r>
      <w:r>
        <w:rPr>
          <w:rFonts w:cs="TimesNewRoman"/>
          <w:color w:val="000000"/>
        </w:rPr>
        <w:t xml:space="preserve">WS </w:t>
      </w:r>
      <w:r w:rsidR="00E3547D">
        <w:rPr>
          <w:rFonts w:cs="TimesNewRoman"/>
          <w:color w:val="000000"/>
        </w:rPr>
        <w:t>21-02</w:t>
      </w:r>
      <w:r w:rsidR="00D93F10">
        <w:rPr>
          <w:rFonts w:cs="TimesNewRoman"/>
          <w:color w:val="000000"/>
        </w:rPr>
        <w:t xml:space="preserve"> Trade Adjustment Assistance</w:t>
      </w:r>
      <w:r w:rsidR="008947B0">
        <w:rPr>
          <w:rFonts w:cs="TimesNewRoman"/>
          <w:color w:val="000000"/>
        </w:rPr>
        <w:t xml:space="preserve"> - </w:t>
      </w:r>
      <w:r w:rsidR="008864AA">
        <w:rPr>
          <w:rFonts w:cs="TimesNewRoman"/>
          <w:color w:val="000000"/>
        </w:rPr>
        <w:t xml:space="preserve">Procedures </w:t>
      </w:r>
      <w:r w:rsidR="007F747C">
        <w:rPr>
          <w:rFonts w:cs="TimesNewRoman"/>
          <w:color w:val="000000"/>
        </w:rPr>
        <w:t xml:space="preserve">for </w:t>
      </w:r>
      <w:r w:rsidR="00FB26CA">
        <w:rPr>
          <w:rFonts w:cs="TimesNewRoman"/>
          <w:color w:val="000000"/>
        </w:rPr>
        <w:t xml:space="preserve">Adversely </w:t>
      </w:r>
      <w:r w:rsidR="007F747C">
        <w:rPr>
          <w:rFonts w:cs="TimesNewRoman"/>
          <w:color w:val="000000"/>
        </w:rPr>
        <w:t xml:space="preserve">Affected </w:t>
      </w:r>
      <w:r w:rsidR="00E873C4">
        <w:rPr>
          <w:rFonts w:cs="TimesNewRoman"/>
          <w:color w:val="000000"/>
        </w:rPr>
        <w:t xml:space="preserve">Workers </w:t>
      </w:r>
      <w:r w:rsidR="00F5272D">
        <w:rPr>
          <w:rFonts w:cs="TimesNewRoman"/>
          <w:color w:val="000000"/>
        </w:rPr>
        <w:t>Change 1</w:t>
      </w:r>
      <w:r w:rsidR="007F747C">
        <w:rPr>
          <w:rFonts w:cs="TimesNewRoman"/>
          <w:color w:val="000000"/>
        </w:rPr>
        <w:t xml:space="preserve"> issued </w:t>
      </w:r>
      <w:r w:rsidR="00BC746D">
        <w:rPr>
          <w:rFonts w:cs="TimesNewRoman"/>
          <w:color w:val="000000"/>
        </w:rPr>
        <w:t>May 4, 2022</w:t>
      </w:r>
      <w:r w:rsidR="00FD0001">
        <w:rPr>
          <w:rFonts w:cs="TimesNewRoman"/>
          <w:color w:val="000000"/>
        </w:rPr>
        <w:t>.</w:t>
      </w:r>
    </w:p>
    <w:p w14:paraId="677C7DDC" w14:textId="78873F5F" w:rsidR="00FD0001" w:rsidRDefault="00FD0001" w:rsidP="00DA5A79">
      <w:pPr>
        <w:rPr>
          <w:rFonts w:cs="TimesNewRoman"/>
          <w:color w:val="000000"/>
        </w:rPr>
      </w:pPr>
    </w:p>
    <w:p w14:paraId="51ACEAF7" w14:textId="5C9D06BB" w:rsidR="00DC70D9" w:rsidRDefault="00DC70D9" w:rsidP="00073693">
      <w:pPr>
        <w:widowControl/>
        <w:autoSpaceDE/>
        <w:autoSpaceDN/>
        <w:adjustRightInd/>
        <w:contextualSpacing/>
      </w:pPr>
    </w:p>
    <w:p w14:paraId="6FBF25A7" w14:textId="77777777" w:rsidR="00DF15B6" w:rsidRDefault="00DF15B6">
      <w:pPr>
        <w:pStyle w:val="Heading5"/>
        <w:spacing w:after="60"/>
        <w:rPr>
          <w:sz w:val="36"/>
          <w:szCs w:val="36"/>
        </w:rPr>
      </w:pPr>
      <w:r>
        <w:rPr>
          <w:sz w:val="36"/>
          <w:szCs w:val="36"/>
        </w:rPr>
        <w:t>Background</w:t>
      </w:r>
    </w:p>
    <w:p w14:paraId="13146990" w14:textId="5CAFE6FA" w:rsidR="00DF15B6" w:rsidRDefault="00DF15B6" w:rsidP="003C79D5">
      <w:pPr>
        <w:rPr>
          <w:rFonts w:cs="TimesNewRoman"/>
          <w:color w:val="000000"/>
        </w:rPr>
      </w:pPr>
      <w:r w:rsidRPr="000623D2">
        <w:rPr>
          <w:rFonts w:cs="TimesNewRoman"/>
          <w:color w:val="000000"/>
        </w:rPr>
        <w:t>The federal Trade Act provides money to help workers who have lost their jobs due to</w:t>
      </w:r>
      <w:r>
        <w:rPr>
          <w:rFonts w:cs="TimesNewRoman"/>
          <w:color w:val="000000"/>
        </w:rPr>
        <w:t xml:space="preserve"> </w:t>
      </w:r>
      <w:r w:rsidR="00CC54E5" w:rsidRPr="000623D2">
        <w:rPr>
          <w:rFonts w:cs="TimesNewRoman"/>
          <w:color w:val="000000"/>
        </w:rPr>
        <w:t>adverse effects</w:t>
      </w:r>
      <w:r w:rsidRPr="000623D2">
        <w:rPr>
          <w:rFonts w:cs="TimesNewRoman"/>
          <w:color w:val="000000"/>
        </w:rPr>
        <w:t xml:space="preserve"> of foreign trade. The U.S. Department of Labor is responsible for</w:t>
      </w:r>
      <w:r>
        <w:rPr>
          <w:rFonts w:cs="TimesNewRoman"/>
          <w:color w:val="000000"/>
        </w:rPr>
        <w:t xml:space="preserve"> </w:t>
      </w:r>
      <w:r w:rsidRPr="000623D2">
        <w:rPr>
          <w:rFonts w:cs="TimesNewRoman"/>
          <w:color w:val="000000"/>
        </w:rPr>
        <w:t>determining if a company’s workers are eligible for assistance and for providing funds to</w:t>
      </w:r>
      <w:r>
        <w:rPr>
          <w:rFonts w:cs="TimesNewRoman"/>
          <w:color w:val="000000"/>
        </w:rPr>
        <w:t xml:space="preserve"> </w:t>
      </w:r>
      <w:r w:rsidRPr="000623D2">
        <w:rPr>
          <w:rFonts w:cs="TimesNewRoman"/>
          <w:color w:val="000000"/>
        </w:rPr>
        <w:t xml:space="preserve">the states and workforce boards. In </w:t>
      </w:r>
      <w:smartTag w:uri="urn:schemas-microsoft-com:office:smarttags" w:element="place">
        <w:smartTag w:uri="urn:schemas-microsoft-com:office:smarttags" w:element="State">
          <w:r w:rsidRPr="000623D2">
            <w:rPr>
              <w:rFonts w:cs="TimesNewRoman"/>
              <w:color w:val="000000"/>
            </w:rPr>
            <w:t>Texas</w:t>
          </w:r>
        </w:smartTag>
      </w:smartTag>
      <w:r w:rsidRPr="000623D2">
        <w:rPr>
          <w:rFonts w:cs="TimesNewRoman"/>
          <w:color w:val="000000"/>
        </w:rPr>
        <w:t xml:space="preserve">, the state and </w:t>
      </w:r>
      <w:r>
        <w:rPr>
          <w:rFonts w:cs="TimesNewRoman"/>
          <w:color w:val="000000"/>
        </w:rPr>
        <w:t>Workforce Solutions</w:t>
      </w:r>
      <w:r w:rsidRPr="000623D2">
        <w:rPr>
          <w:rFonts w:cs="TimesNewRoman"/>
          <w:color w:val="000000"/>
        </w:rPr>
        <w:t xml:space="preserve"> are responsible</w:t>
      </w:r>
      <w:r>
        <w:rPr>
          <w:rFonts w:cs="TimesNewRoman"/>
          <w:color w:val="000000"/>
        </w:rPr>
        <w:t xml:space="preserve"> </w:t>
      </w:r>
      <w:r w:rsidRPr="000623D2">
        <w:rPr>
          <w:rFonts w:cs="TimesNewRoman"/>
          <w:color w:val="000000"/>
        </w:rPr>
        <w:t>for delivering service to eligible workers.</w:t>
      </w:r>
      <w:r w:rsidR="00711357">
        <w:rPr>
          <w:rFonts w:cs="TimesNewRoman"/>
          <w:color w:val="000000"/>
        </w:rPr>
        <w:br/>
      </w:r>
    </w:p>
    <w:p w14:paraId="713E4CD8" w14:textId="6981CB57" w:rsidR="00DF15B6" w:rsidRPr="000623D2" w:rsidRDefault="00DF15B6" w:rsidP="003C79D5">
      <w:pPr>
        <w:rPr>
          <w:rFonts w:cs="TimesNewRoman"/>
          <w:color w:val="000000"/>
        </w:rPr>
      </w:pPr>
      <w:r w:rsidRPr="000623D2">
        <w:rPr>
          <w:rFonts w:cs="TimesNewRoman"/>
          <w:color w:val="000000"/>
        </w:rPr>
        <w:t>Trade Act financial aid comes in two forms: Trade Adjustment Assistance (TAA), and</w:t>
      </w:r>
    </w:p>
    <w:p w14:paraId="7E16F439" w14:textId="0F730B0B" w:rsidR="00DF15B6" w:rsidRDefault="00DF15B6" w:rsidP="009E07A7">
      <w:pPr>
        <w:rPr>
          <w:rFonts w:cs="TimesNewRoman"/>
          <w:color w:val="000000"/>
        </w:rPr>
      </w:pPr>
      <w:r w:rsidRPr="000623D2">
        <w:rPr>
          <w:rFonts w:cs="TimesNewRoman"/>
          <w:color w:val="000000"/>
        </w:rPr>
        <w:t>Trade Readjustment Allowances (TRA). TAA consists primarily of financial aid grants</w:t>
      </w:r>
      <w:r>
        <w:rPr>
          <w:rFonts w:cs="TimesNewRoman"/>
          <w:color w:val="000000"/>
        </w:rPr>
        <w:t xml:space="preserve"> </w:t>
      </w:r>
      <w:r w:rsidRPr="000623D2">
        <w:rPr>
          <w:rFonts w:cs="TimesNewRoman"/>
          <w:color w:val="000000"/>
        </w:rPr>
        <w:t>for education expenses (tuition/fees, books), out-of-area job search travel, and relocation</w:t>
      </w:r>
      <w:r>
        <w:rPr>
          <w:rFonts w:cs="TimesNewRoman"/>
          <w:color w:val="000000"/>
        </w:rPr>
        <w:t xml:space="preserve"> </w:t>
      </w:r>
      <w:r w:rsidRPr="000623D2">
        <w:rPr>
          <w:rFonts w:cs="TimesNewRoman"/>
          <w:color w:val="000000"/>
        </w:rPr>
        <w:t>expenses. TRA is a stipend, paid to an individual customer through the Unemployment</w:t>
      </w:r>
      <w:r>
        <w:rPr>
          <w:rFonts w:cs="TimesNewRoman"/>
          <w:color w:val="000000"/>
        </w:rPr>
        <w:t xml:space="preserve"> </w:t>
      </w:r>
      <w:r w:rsidRPr="000623D2">
        <w:rPr>
          <w:rFonts w:cs="TimesNewRoman"/>
          <w:color w:val="000000"/>
        </w:rPr>
        <w:t>Insurance</w:t>
      </w:r>
      <w:r w:rsidR="00BB2F71">
        <w:rPr>
          <w:rFonts w:cs="TimesNewRoman"/>
          <w:color w:val="000000"/>
        </w:rPr>
        <w:t xml:space="preserve"> (UI)</w:t>
      </w:r>
      <w:r w:rsidRPr="000623D2">
        <w:rPr>
          <w:rFonts w:cs="TimesNewRoman"/>
          <w:color w:val="000000"/>
        </w:rPr>
        <w:t xml:space="preserve"> system, after regular UI compensation has been exhausted.</w:t>
      </w:r>
    </w:p>
    <w:p w14:paraId="51A4355A" w14:textId="77777777" w:rsidR="00DF15B6" w:rsidRDefault="00DF15B6" w:rsidP="009E07A7">
      <w:pPr>
        <w:rPr>
          <w:rFonts w:cs="TimesNewRoman"/>
          <w:color w:val="000000"/>
        </w:rPr>
      </w:pPr>
    </w:p>
    <w:p w14:paraId="52FC897B" w14:textId="34316907" w:rsidR="0098709F" w:rsidRPr="0098709F" w:rsidRDefault="00BA59E9" w:rsidP="00073693">
      <w:pPr>
        <w:widowControl/>
        <w:autoSpaceDE/>
        <w:autoSpaceDN/>
        <w:adjustRightInd/>
      </w:pPr>
      <w:r w:rsidRPr="00BE677A">
        <w:rPr>
          <w:color w:val="000000"/>
        </w:rPr>
        <w:t>T</w:t>
      </w:r>
      <w:r>
        <w:rPr>
          <w:color w:val="000000"/>
        </w:rPr>
        <w:t>h</w:t>
      </w:r>
      <w:r w:rsidRPr="00BE677A">
        <w:rPr>
          <w:color w:val="000000"/>
        </w:rPr>
        <w:t xml:space="preserve">e Trade Act of 1974 (Trade Act) </w:t>
      </w:r>
      <w:r>
        <w:rPr>
          <w:color w:val="000000"/>
        </w:rPr>
        <w:t xml:space="preserve">established the TAA program and was amended </w:t>
      </w:r>
      <w:r w:rsidR="00130A61" w:rsidRPr="00BE677A">
        <w:rPr>
          <w:color w:val="000000"/>
        </w:rPr>
        <w:t>in 2002, 2009, 2011, and 2015.</w:t>
      </w:r>
      <w:r w:rsidR="00130A61">
        <w:rPr>
          <w:color w:val="000000"/>
        </w:rPr>
        <w:t xml:space="preserve"> </w:t>
      </w:r>
      <w:r w:rsidR="0098709F" w:rsidRPr="0098709F">
        <w:t xml:space="preserve">The Trade Adjustment Assistance Reauthorization Act of 2015 (TAARA </w:t>
      </w:r>
      <w:r w:rsidR="0098709F" w:rsidRPr="0098709F">
        <w:lastRenderedPageBreak/>
        <w:t>2015) was signed into law on June 29, 2015</w:t>
      </w:r>
      <w:r w:rsidR="00D705B3">
        <w:t>.</w:t>
      </w:r>
      <w:r w:rsidR="0098709F" w:rsidRPr="0098709F">
        <w:t xml:space="preserve"> The law continue</w:t>
      </w:r>
      <w:r w:rsidR="00130A61">
        <w:t>d</w:t>
      </w:r>
      <w:r w:rsidR="0098709F" w:rsidRPr="0098709F">
        <w:t xml:space="preserve"> the Trade Adjustment Assistance program for six years and change</w:t>
      </w:r>
      <w:r w:rsidR="007C15B0">
        <w:t>d</w:t>
      </w:r>
      <w:r w:rsidR="0098709F" w:rsidRPr="0098709F">
        <w:t xml:space="preserve"> group eligibility requirements and individual benefits and services available under the TAA program, retroactive to January 1, 2014.  All certified petitions numbered 85,000 </w:t>
      </w:r>
      <w:r w:rsidR="009611D4">
        <w:t xml:space="preserve">– 97,999 </w:t>
      </w:r>
      <w:r w:rsidR="0098709F" w:rsidRPr="0098709F">
        <w:t xml:space="preserve">fall under the provisions of TAARA 2015.  </w:t>
      </w:r>
    </w:p>
    <w:p w14:paraId="3D3303DB" w14:textId="77777777" w:rsidR="0098709F" w:rsidRPr="0098709F" w:rsidRDefault="0098709F" w:rsidP="0098709F">
      <w:pPr>
        <w:widowControl/>
        <w:autoSpaceDE/>
        <w:autoSpaceDN/>
        <w:adjustRightInd/>
        <w:contextualSpacing/>
      </w:pPr>
    </w:p>
    <w:p w14:paraId="6FD34720" w14:textId="7D94F4CE" w:rsidR="006D2ADB" w:rsidRPr="00B12DC9" w:rsidRDefault="006C4462" w:rsidP="0B47359A">
      <w:r w:rsidRPr="00B12DC9">
        <w:t xml:space="preserve">On July 1, 2021, TAA reverted to a modified version of TAARA 2015.  </w:t>
      </w:r>
      <w:r w:rsidR="71DDD199" w:rsidRPr="00B12DC9">
        <w:t xml:space="preserve">This version, referred to as </w:t>
      </w:r>
      <w:r w:rsidRPr="00B12DC9">
        <w:t>Reversion 2021,</w:t>
      </w:r>
      <w:r w:rsidR="22C5BE42" w:rsidRPr="00B12DC9">
        <w:t xml:space="preserve"> </w:t>
      </w:r>
      <w:r w:rsidRPr="00B12DC9">
        <w:t>offer</w:t>
      </w:r>
      <w:r w:rsidR="00625A33" w:rsidRPr="00B12DC9">
        <w:t>ed</w:t>
      </w:r>
      <w:r w:rsidRPr="00B12DC9">
        <w:t xml:space="preserve"> benefits and services similar to those of the 2002 program, with some exceptions. All</w:t>
      </w:r>
      <w:r w:rsidR="685017B0" w:rsidRPr="00B12DC9">
        <w:t xml:space="preserve"> </w:t>
      </w:r>
      <w:r w:rsidRPr="00B12DC9">
        <w:t xml:space="preserve">petitions </w:t>
      </w:r>
      <w:r w:rsidR="4038E3EA" w:rsidRPr="00B12DC9">
        <w:t xml:space="preserve">certified </w:t>
      </w:r>
      <w:r w:rsidRPr="00B12DC9">
        <w:t xml:space="preserve">after July 1, 2021 </w:t>
      </w:r>
      <w:r w:rsidR="00AA5108" w:rsidRPr="00B12DC9">
        <w:t>are</w:t>
      </w:r>
      <w:r w:rsidRPr="00B12DC9">
        <w:t xml:space="preserve"> numbered 98,000 and above.  </w:t>
      </w:r>
    </w:p>
    <w:p w14:paraId="561E943E" w14:textId="77777777" w:rsidR="006D2ADB" w:rsidRPr="00B12DC9" w:rsidRDefault="006D2ADB" w:rsidP="0B47359A"/>
    <w:p w14:paraId="39AEDEE7" w14:textId="492EA7F2" w:rsidR="006C4462" w:rsidRPr="00B12DC9" w:rsidRDefault="46CD5F81" w:rsidP="1C5D3BF2">
      <w:r w:rsidRPr="1C5D3BF2">
        <w:rPr>
          <w:b/>
          <w:bCs/>
          <w:i/>
          <w:iCs/>
        </w:rPr>
        <w:t xml:space="preserve"> TAARA 2015</w:t>
      </w:r>
      <w:r w:rsidR="687D13A8">
        <w:t xml:space="preserve"> </w:t>
      </w:r>
      <w:r w:rsidR="19FA9A14" w:rsidRPr="007F655F">
        <w:rPr>
          <w:b/>
          <w:bCs/>
          <w:i/>
          <w:iCs/>
        </w:rPr>
        <w:t>contained</w:t>
      </w:r>
      <w:r w:rsidR="687D13A8">
        <w:t xml:space="preserve"> </w:t>
      </w:r>
      <w:r w:rsidR="00E73735">
        <w:t xml:space="preserve">a </w:t>
      </w:r>
      <w:r w:rsidR="0FA73619">
        <w:t>sunset provision effective</w:t>
      </w:r>
      <w:r w:rsidR="687D13A8">
        <w:t xml:space="preserve"> </w:t>
      </w:r>
      <w:r w:rsidR="00F311D6">
        <w:t>July 1</w:t>
      </w:r>
      <w:r w:rsidR="687D13A8">
        <w:t xml:space="preserve">, 2022. Congress has not passed additional </w:t>
      </w:r>
      <w:r w:rsidR="6496D218">
        <w:t>legislation, therefore</w:t>
      </w:r>
      <w:r w:rsidR="25F1ECE7">
        <w:t xml:space="preserve"> all versions of TAA</w:t>
      </w:r>
      <w:r w:rsidR="006D2ADB">
        <w:t xml:space="preserve"> terminated on </w:t>
      </w:r>
      <w:r w:rsidR="00D87355">
        <w:t>June 30</w:t>
      </w:r>
      <w:r w:rsidR="006D2ADB">
        <w:t>, 2022</w:t>
      </w:r>
      <w:r w:rsidR="5CCA7FD4">
        <w:t xml:space="preserve">. Customers who were </w:t>
      </w:r>
      <w:r w:rsidR="72CC5957">
        <w:t>certified pr</w:t>
      </w:r>
      <w:r w:rsidR="0ADEB7F6">
        <w:t>ior to July 1, 2022</w:t>
      </w:r>
      <w:r w:rsidR="72CC5957">
        <w:t xml:space="preserve"> can continue to be served</w:t>
      </w:r>
      <w:r w:rsidR="00FA3EB0">
        <w:t xml:space="preserve"> </w:t>
      </w:r>
      <w:r w:rsidR="00CF4B17">
        <w:t>under the</w:t>
      </w:r>
      <w:r w:rsidR="00FA3EB0">
        <w:t xml:space="preserve"> TAA </w:t>
      </w:r>
      <w:r w:rsidR="00CF4B17">
        <w:t>program</w:t>
      </w:r>
      <w:r w:rsidR="72CC5957">
        <w:t>.</w:t>
      </w:r>
    </w:p>
    <w:p w14:paraId="708A1FCA" w14:textId="451AD144" w:rsidR="00DF15B6" w:rsidRDefault="00DF15B6" w:rsidP="00D64615">
      <w:pPr>
        <w:rPr>
          <w:b/>
        </w:rPr>
      </w:pPr>
    </w:p>
    <w:p w14:paraId="732EB290" w14:textId="5AE6A40B" w:rsidR="00B75EC6" w:rsidRPr="000C09C9" w:rsidRDefault="00B75EC6" w:rsidP="00D64615">
      <w:pPr>
        <w:rPr>
          <w:b/>
        </w:rPr>
      </w:pPr>
    </w:p>
    <w:p w14:paraId="7DF26DE8" w14:textId="77777777" w:rsidR="00DF15B6" w:rsidRDefault="00DF15B6" w:rsidP="004A6EB3">
      <w:pPr>
        <w:rPr>
          <w:sz w:val="36"/>
          <w:szCs w:val="36"/>
        </w:rPr>
      </w:pPr>
      <w:r>
        <w:rPr>
          <w:sz w:val="36"/>
          <w:szCs w:val="36"/>
        </w:rPr>
        <w:t>Action</w:t>
      </w:r>
    </w:p>
    <w:p w14:paraId="0D971670" w14:textId="63693D07" w:rsidR="00DD4626" w:rsidRDefault="00DD4626" w:rsidP="00DD4626">
      <w:r>
        <w:t>Make sure all staff are aware of the following when providing service to adversely affected workers under the TAA program.</w:t>
      </w:r>
    </w:p>
    <w:p w14:paraId="78448EB1" w14:textId="77777777" w:rsidR="00DD4626" w:rsidRPr="00BD2EB8" w:rsidRDefault="00DD4626" w:rsidP="00DD4626"/>
    <w:p w14:paraId="79230B7E" w14:textId="77777777" w:rsidR="00DD4626" w:rsidRPr="003C1726" w:rsidRDefault="00DD4626" w:rsidP="00DD4626">
      <w:pPr>
        <w:pStyle w:val="ListParagraph"/>
        <w:numPr>
          <w:ilvl w:val="0"/>
          <w:numId w:val="23"/>
        </w:numPr>
        <w:rPr>
          <w:b/>
          <w:bCs/>
        </w:rPr>
      </w:pPr>
      <w:r w:rsidRPr="003C1726">
        <w:rPr>
          <w:b/>
          <w:bCs/>
          <w:color w:val="000000"/>
        </w:rPr>
        <w:t>Trade Adjustment Assistance</w:t>
      </w:r>
    </w:p>
    <w:p w14:paraId="507CCFE4" w14:textId="675D79D8" w:rsidR="00DD4626" w:rsidRPr="00D328E4" w:rsidRDefault="00DD4626" w:rsidP="00DD4626">
      <w:pPr>
        <w:widowControl/>
        <w:ind w:left="720"/>
        <w:rPr>
          <w:color w:val="000000"/>
        </w:rPr>
      </w:pPr>
      <w:r>
        <w:rPr>
          <w:color w:val="000000"/>
        </w:rPr>
        <w:t xml:space="preserve">Workforce Solutions staff </w:t>
      </w:r>
      <w:r w:rsidRPr="00D328E4">
        <w:rPr>
          <w:color w:val="000000"/>
        </w:rPr>
        <w:t xml:space="preserve">must continue to </w:t>
      </w:r>
      <w:r>
        <w:rPr>
          <w:color w:val="000000"/>
        </w:rPr>
        <w:t xml:space="preserve">follow the procedures to provide TAA-funded service to customers eligible under petitions </w:t>
      </w:r>
      <w:r w:rsidRPr="00D328E4">
        <w:rPr>
          <w:color w:val="000000"/>
        </w:rPr>
        <w:t>certifi</w:t>
      </w:r>
      <w:r>
        <w:rPr>
          <w:color w:val="000000"/>
        </w:rPr>
        <w:t>ed prior to July 1, 2022.</w:t>
      </w:r>
    </w:p>
    <w:p w14:paraId="5F40460D" w14:textId="77777777" w:rsidR="00DD4626" w:rsidRPr="00D328E4" w:rsidRDefault="00DD4626" w:rsidP="00DD4626">
      <w:pPr>
        <w:widowControl/>
        <w:rPr>
          <w:color w:val="000000"/>
        </w:rPr>
      </w:pPr>
    </w:p>
    <w:p w14:paraId="3FCC53F6" w14:textId="3DCBCFCC" w:rsidR="00DD4626" w:rsidRPr="004D5C4F" w:rsidRDefault="00DD4626" w:rsidP="00DD4626">
      <w:pPr>
        <w:widowControl/>
        <w:ind w:left="720"/>
        <w:rPr>
          <w:color w:val="000000"/>
        </w:rPr>
      </w:pPr>
      <w:r>
        <w:rPr>
          <w:color w:val="000000"/>
        </w:rPr>
        <w:t xml:space="preserve">Workforce Solutions staff </w:t>
      </w:r>
      <w:r w:rsidRPr="00D328E4">
        <w:rPr>
          <w:color w:val="000000"/>
        </w:rPr>
        <w:t>must continue to co</w:t>
      </w:r>
      <w:r>
        <w:rPr>
          <w:color w:val="000000"/>
        </w:rPr>
        <w:t>-</w:t>
      </w:r>
      <w:r w:rsidRPr="00D328E4">
        <w:rPr>
          <w:color w:val="000000"/>
        </w:rPr>
        <w:t xml:space="preserve">enroll all </w:t>
      </w:r>
      <w:r>
        <w:rPr>
          <w:color w:val="000000"/>
        </w:rPr>
        <w:t>adversely a</w:t>
      </w:r>
      <w:r w:rsidRPr="00D328E4">
        <w:rPr>
          <w:color w:val="000000"/>
        </w:rPr>
        <w:t xml:space="preserve">ffected workers </w:t>
      </w:r>
      <w:r w:rsidR="007E35BF">
        <w:rPr>
          <w:color w:val="000000"/>
        </w:rPr>
        <w:t>unde</w:t>
      </w:r>
      <w:r w:rsidR="004E69FB">
        <w:rPr>
          <w:color w:val="000000"/>
        </w:rPr>
        <w:t xml:space="preserve">r certified petitions </w:t>
      </w:r>
      <w:r w:rsidRPr="00D328E4">
        <w:rPr>
          <w:color w:val="000000"/>
        </w:rPr>
        <w:t>in the Workforce Innovation and Opportunity Act (WIOA) Dislocated Worker program</w:t>
      </w:r>
      <w:r>
        <w:rPr>
          <w:color w:val="000000"/>
        </w:rPr>
        <w:t>.</w:t>
      </w:r>
    </w:p>
    <w:p w14:paraId="1CBDEC25" w14:textId="77777777" w:rsidR="00DD4626" w:rsidRPr="004D5C4F" w:rsidRDefault="00DD4626" w:rsidP="00DD4626">
      <w:pPr>
        <w:widowControl/>
        <w:rPr>
          <w:color w:val="000000"/>
        </w:rPr>
      </w:pPr>
    </w:p>
    <w:p w14:paraId="3D1910DF" w14:textId="3B749453" w:rsidR="00DD4626" w:rsidRDefault="00DD4626" w:rsidP="00DD4626">
      <w:pPr>
        <w:pStyle w:val="ListParagraph"/>
        <w:widowControl/>
        <w:numPr>
          <w:ilvl w:val="0"/>
          <w:numId w:val="23"/>
        </w:numPr>
        <w:rPr>
          <w:b/>
          <w:bCs/>
          <w:color w:val="000000"/>
        </w:rPr>
      </w:pPr>
      <w:r w:rsidRPr="004D5C4F">
        <w:rPr>
          <w:b/>
          <w:bCs/>
          <w:color w:val="000000"/>
        </w:rPr>
        <w:t>Petitions</w:t>
      </w:r>
    </w:p>
    <w:p w14:paraId="05A91528" w14:textId="33D06554" w:rsidR="00DD4626" w:rsidRDefault="00DD4626" w:rsidP="00DD4626">
      <w:pPr>
        <w:pStyle w:val="ListParagraph"/>
        <w:widowControl/>
        <w:rPr>
          <w:color w:val="000000"/>
        </w:rPr>
      </w:pPr>
      <w:r w:rsidRPr="00D11D40">
        <w:rPr>
          <w:color w:val="000000"/>
        </w:rPr>
        <w:t xml:space="preserve">Workforce Solutions staff must </w:t>
      </w:r>
      <w:r w:rsidRPr="00D328E4">
        <w:rPr>
          <w:color w:val="000000"/>
        </w:rPr>
        <w:t>be aware that any pending petitions and any petitions submitted after June 30, 2022, will not be investigated or certified by the U</w:t>
      </w:r>
      <w:r>
        <w:rPr>
          <w:color w:val="000000"/>
        </w:rPr>
        <w:t>.</w:t>
      </w:r>
      <w:r w:rsidRPr="00D328E4">
        <w:rPr>
          <w:color w:val="000000"/>
        </w:rPr>
        <w:t>S</w:t>
      </w:r>
      <w:r>
        <w:rPr>
          <w:color w:val="000000"/>
        </w:rPr>
        <w:t>.</w:t>
      </w:r>
      <w:r w:rsidRPr="00D328E4">
        <w:rPr>
          <w:color w:val="000000"/>
        </w:rPr>
        <w:t xml:space="preserve"> Department of Labor.</w:t>
      </w:r>
    </w:p>
    <w:p w14:paraId="5CCC18F6" w14:textId="1CE68038" w:rsidR="00251A6A" w:rsidRDefault="00251A6A" w:rsidP="00DD4626">
      <w:pPr>
        <w:pStyle w:val="ListParagraph"/>
        <w:widowControl/>
        <w:rPr>
          <w:color w:val="000000"/>
        </w:rPr>
      </w:pPr>
    </w:p>
    <w:p w14:paraId="51D19891" w14:textId="773305A2" w:rsidR="00251A6A" w:rsidRDefault="00251A6A" w:rsidP="00DD4626">
      <w:pPr>
        <w:pStyle w:val="ListParagraph"/>
        <w:widowControl/>
        <w:rPr>
          <w:color w:val="000000"/>
        </w:rPr>
      </w:pPr>
      <w:r>
        <w:rPr>
          <w:color w:val="000000"/>
        </w:rPr>
        <w:t xml:space="preserve">Workforce Solutions staff </w:t>
      </w:r>
      <w:r w:rsidR="007E4C54">
        <w:rPr>
          <w:color w:val="000000"/>
        </w:rPr>
        <w:t xml:space="preserve">should not file a new </w:t>
      </w:r>
      <w:r w:rsidR="00240E2D">
        <w:rPr>
          <w:color w:val="000000"/>
        </w:rPr>
        <w:t xml:space="preserve">petition on behalf of an </w:t>
      </w:r>
      <w:r w:rsidR="00EB5F56">
        <w:rPr>
          <w:color w:val="000000"/>
        </w:rPr>
        <w:t>adversely affected worker</w:t>
      </w:r>
      <w:r w:rsidR="00240E2D">
        <w:rPr>
          <w:color w:val="000000"/>
        </w:rPr>
        <w:t xml:space="preserve">. Staff must inform customers the </w:t>
      </w:r>
      <w:r w:rsidR="00E00C1E">
        <w:rPr>
          <w:color w:val="000000"/>
        </w:rPr>
        <w:t xml:space="preserve">program has been discontinued and </w:t>
      </w:r>
      <w:r w:rsidR="007A0003">
        <w:rPr>
          <w:color w:val="000000"/>
        </w:rPr>
        <w:t>must provide service under WIOA Dislocated Worker.</w:t>
      </w:r>
    </w:p>
    <w:p w14:paraId="7FA434AA" w14:textId="77777777" w:rsidR="00DD4626" w:rsidRPr="004D5C4F" w:rsidRDefault="00DD4626" w:rsidP="00DD4626">
      <w:pPr>
        <w:widowControl/>
        <w:rPr>
          <w:color w:val="000000"/>
        </w:rPr>
      </w:pPr>
    </w:p>
    <w:p w14:paraId="59856826" w14:textId="0F7C7B6F" w:rsidR="00DD4626" w:rsidRPr="0070164B" w:rsidRDefault="00DD4626" w:rsidP="00DD4626">
      <w:pPr>
        <w:pStyle w:val="ListParagraph"/>
        <w:widowControl/>
        <w:numPr>
          <w:ilvl w:val="0"/>
          <w:numId w:val="23"/>
        </w:numPr>
        <w:rPr>
          <w:b/>
          <w:bCs/>
          <w:color w:val="000000"/>
        </w:rPr>
      </w:pPr>
      <w:r w:rsidRPr="004D5C4F">
        <w:rPr>
          <w:b/>
          <w:bCs/>
          <w:color w:val="000000"/>
        </w:rPr>
        <w:t>Trade Readjustment Allowance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br/>
      </w:r>
      <w:r w:rsidRPr="00B02947">
        <w:rPr>
          <w:color w:val="000000"/>
        </w:rPr>
        <w:t>Workforce Solutions staff</w:t>
      </w:r>
      <w:r>
        <w:rPr>
          <w:b/>
          <w:bCs/>
          <w:color w:val="000000"/>
        </w:rPr>
        <w:t xml:space="preserve"> </w:t>
      </w:r>
      <w:r w:rsidRPr="00B02947">
        <w:rPr>
          <w:color w:val="000000"/>
        </w:rPr>
        <w:t>must be aware that Reemployment Trade Adjustment Assistance (RTAA) and Alternative Trade Adjustment Assistance (ATAA) are limited to workers who received their first payment prior to June 30, 2022.</w:t>
      </w:r>
    </w:p>
    <w:p w14:paraId="6DF96686" w14:textId="77777777" w:rsidR="00DD4626" w:rsidRDefault="00DD4626" w:rsidP="00DD4626">
      <w:pPr>
        <w:pStyle w:val="ListParagraph"/>
        <w:widowControl/>
        <w:rPr>
          <w:b/>
          <w:bCs/>
          <w:color w:val="000000"/>
        </w:rPr>
      </w:pPr>
    </w:p>
    <w:p w14:paraId="13DF1207" w14:textId="1E454B14" w:rsidR="00DD4626" w:rsidRPr="00D328E4" w:rsidRDefault="00DD4626" w:rsidP="00DD4626">
      <w:pPr>
        <w:pStyle w:val="ListParagraph"/>
        <w:widowControl/>
        <w:rPr>
          <w:color w:val="000000"/>
        </w:rPr>
      </w:pPr>
      <w:r w:rsidRPr="0070164B">
        <w:rPr>
          <w:color w:val="000000"/>
        </w:rPr>
        <w:t xml:space="preserve">Workforce Solutions staff </w:t>
      </w:r>
      <w:r w:rsidRPr="00D328E4">
        <w:t>must be aware that the Texas Workforce Commission (TWC) TRA unit will not approve new applications for RTAA or ATAA after June 30, 2022.</w:t>
      </w:r>
      <w:r>
        <w:br/>
      </w:r>
    </w:p>
    <w:p w14:paraId="6FC34705" w14:textId="4180208C" w:rsidR="00DD4626" w:rsidRPr="004D5C4F" w:rsidRDefault="00DD4626" w:rsidP="00DD4626">
      <w:pPr>
        <w:widowControl/>
        <w:ind w:left="720"/>
      </w:pPr>
      <w:r w:rsidRPr="000D61AE">
        <w:t xml:space="preserve">Workforce Solutions staff </w:t>
      </w:r>
      <w:r w:rsidRPr="00D328E4">
        <w:t xml:space="preserve">must continue to submit TRA applications for </w:t>
      </w:r>
      <w:r w:rsidR="00946C08">
        <w:t xml:space="preserve">adversely </w:t>
      </w:r>
      <w:r w:rsidRPr="00D328E4">
        <w:t>affected workers under a certified petition.</w:t>
      </w:r>
      <w:r w:rsidR="004A024B">
        <w:t xml:space="preserve"> </w:t>
      </w:r>
      <w:r w:rsidRPr="00D328E4">
        <w:rPr>
          <w:b/>
          <w:bCs/>
        </w:rPr>
        <w:t xml:space="preserve">The TAA </w:t>
      </w:r>
      <w:r w:rsidRPr="00036AB0">
        <w:rPr>
          <w:b/>
          <w:bCs/>
        </w:rPr>
        <w:t>program conclusion</w:t>
      </w:r>
      <w:r w:rsidRPr="00D328E4">
        <w:rPr>
          <w:b/>
          <w:bCs/>
        </w:rPr>
        <w:t xml:space="preserve"> will not affect </w:t>
      </w:r>
      <w:r w:rsidR="004A024B">
        <w:rPr>
          <w:b/>
          <w:bCs/>
        </w:rPr>
        <w:t xml:space="preserve">their </w:t>
      </w:r>
      <w:r w:rsidRPr="00D328E4">
        <w:rPr>
          <w:b/>
          <w:bCs/>
        </w:rPr>
        <w:t>TRA payments.</w:t>
      </w:r>
    </w:p>
    <w:p w14:paraId="70962FB5" w14:textId="77777777" w:rsidR="003C1726" w:rsidRPr="00EE324F" w:rsidRDefault="003C1726" w:rsidP="003C1726">
      <w:pPr>
        <w:pStyle w:val="ListParagraph"/>
        <w:numPr>
          <w:ilvl w:val="0"/>
          <w:numId w:val="23"/>
        </w:numPr>
        <w:rPr>
          <w:b/>
          <w:bCs/>
        </w:rPr>
      </w:pPr>
      <w:r w:rsidRPr="00EE324F">
        <w:rPr>
          <w:b/>
          <w:bCs/>
        </w:rPr>
        <w:lastRenderedPageBreak/>
        <w:t>Posters</w:t>
      </w:r>
    </w:p>
    <w:p w14:paraId="4CB131D5" w14:textId="4438DCEF" w:rsidR="003C1726" w:rsidRPr="00EE324F" w:rsidRDefault="003C1726" w:rsidP="003C1726">
      <w:pPr>
        <w:pStyle w:val="ListParagraph"/>
      </w:pPr>
      <w:r>
        <w:t xml:space="preserve">Workforce Solutions career offices should remove TAA posters from the Resource </w:t>
      </w:r>
      <w:proofErr w:type="gramStart"/>
      <w:r>
        <w:t>Area .</w:t>
      </w:r>
      <w:proofErr w:type="gramEnd"/>
      <w:r>
        <w:br/>
      </w:r>
    </w:p>
    <w:p w14:paraId="5B89D052" w14:textId="5CC8C031" w:rsidR="00DD4626" w:rsidRPr="004D5C4F" w:rsidRDefault="00DD4626" w:rsidP="003C1726">
      <w:pPr>
        <w:pStyle w:val="ListParagraph"/>
        <w:widowControl/>
        <w:numPr>
          <w:ilvl w:val="0"/>
          <w:numId w:val="23"/>
        </w:numPr>
        <w:rPr>
          <w:b/>
          <w:bCs/>
        </w:rPr>
      </w:pPr>
      <w:r w:rsidRPr="004D5C4F">
        <w:rPr>
          <w:b/>
          <w:bCs/>
        </w:rPr>
        <w:t>Rapid Response</w:t>
      </w:r>
    </w:p>
    <w:p w14:paraId="5109CD54" w14:textId="3440C859" w:rsidR="00DD4626" w:rsidRDefault="00DD4626" w:rsidP="00DD4626">
      <w:pPr>
        <w:ind w:left="720"/>
      </w:pPr>
      <w:r w:rsidRPr="00036AB0">
        <w:t>Workforce Solutions staff</w:t>
      </w:r>
      <w:r w:rsidRPr="004D5C4F">
        <w:t xml:space="preserve"> must continue to provide rapid response services to dislocated workers and refer them to the WIOA Dislocated Worker program.</w:t>
      </w:r>
    </w:p>
    <w:p w14:paraId="430B9857" w14:textId="77777777" w:rsidR="003A40D5" w:rsidRPr="00073693" w:rsidRDefault="003A40D5" w:rsidP="00073693">
      <w:pPr>
        <w:rPr>
          <w:b/>
        </w:rPr>
      </w:pPr>
    </w:p>
    <w:p w14:paraId="3A6AD81B" w14:textId="01EE31A6" w:rsidR="009634DE" w:rsidRPr="00073693" w:rsidRDefault="009634DE" w:rsidP="00073693">
      <w:pPr>
        <w:rPr>
          <w:b/>
        </w:rPr>
      </w:pPr>
    </w:p>
    <w:p w14:paraId="2FF165E4" w14:textId="77777777" w:rsidR="00DF15B6" w:rsidRDefault="00DF15B6">
      <w:pPr>
        <w:rPr>
          <w:sz w:val="36"/>
          <w:szCs w:val="36"/>
        </w:rPr>
      </w:pPr>
      <w:r>
        <w:rPr>
          <w:sz w:val="36"/>
          <w:szCs w:val="36"/>
        </w:rPr>
        <w:t>Questions</w:t>
      </w:r>
    </w:p>
    <w:p w14:paraId="5ADEACC0" w14:textId="77777777" w:rsidR="00DF15B6" w:rsidRDefault="007B3CAB">
      <w:r w:rsidRPr="000C487D">
        <w:rPr>
          <w:spacing w:val="-2"/>
        </w:rPr>
        <w:t>Staff should ask questions of their supervisors and managers first.  Direct questions fo</w:t>
      </w:r>
      <w:r w:rsidRPr="000C487D">
        <w:t xml:space="preserve">r Board staff through the electronic Q&amp;A available for new issuances on </w:t>
      </w:r>
      <w:hyperlink r:id="rId12" w:history="1">
        <w:r w:rsidRPr="000C487D">
          <w:rPr>
            <w:rStyle w:val="Hyperlink"/>
          </w:rPr>
          <w:t>http://wrksolutions.com</w:t>
        </w:r>
      </w:hyperlink>
      <w:r w:rsidRPr="000C487D">
        <w:t>.</w:t>
      </w:r>
    </w:p>
    <w:p w14:paraId="2B96222F" w14:textId="77777777" w:rsidR="00DF15B6" w:rsidRDefault="00DF15B6" w:rsidP="0099463E">
      <w:pPr>
        <w:rPr>
          <w:rFonts w:cs="TimesNewRoman"/>
          <w:color w:val="000000"/>
        </w:rPr>
      </w:pPr>
    </w:p>
    <w:sectPr w:rsidR="00DF15B6" w:rsidSect="003D108E">
      <w:footerReference w:type="default" r:id="rId13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9E399" w14:textId="77777777" w:rsidR="00D86562" w:rsidRDefault="00D86562" w:rsidP="00993099">
      <w:r>
        <w:separator/>
      </w:r>
    </w:p>
  </w:endnote>
  <w:endnote w:type="continuationSeparator" w:id="0">
    <w:p w14:paraId="6C8FE52B" w14:textId="77777777" w:rsidR="00D86562" w:rsidRDefault="00D86562" w:rsidP="00993099">
      <w:r>
        <w:continuationSeparator/>
      </w:r>
    </w:p>
  </w:endnote>
  <w:endnote w:type="continuationNotice" w:id="1">
    <w:p w14:paraId="23068457" w14:textId="77777777" w:rsidR="00D86562" w:rsidRDefault="00D865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86076" w14:textId="23CD5372" w:rsidR="003E734C" w:rsidRPr="00316CDC" w:rsidRDefault="000410ED" w:rsidP="0029678F">
    <w:pPr>
      <w:pStyle w:val="Footer"/>
      <w:jc w:val="right"/>
      <w:rPr>
        <w:rFonts w:ascii="CG Times" w:hAnsi="CG Times"/>
      </w:rPr>
    </w:pPr>
    <w:r>
      <w:rPr>
        <w:rFonts w:ascii="CG Times" w:hAnsi="CG Times"/>
      </w:rPr>
      <w:t xml:space="preserve">WS Issuance </w:t>
    </w:r>
    <w:r w:rsidR="00DE3B99">
      <w:rPr>
        <w:rFonts w:ascii="CG Times" w:hAnsi="CG Times"/>
      </w:rPr>
      <w:t>21-02</w:t>
    </w:r>
    <w:r w:rsidR="003E734C">
      <w:rPr>
        <w:rFonts w:ascii="CG Times" w:hAnsi="CG Times"/>
      </w:rPr>
      <w:t xml:space="preserve">: </w:t>
    </w:r>
    <w:r w:rsidR="00DD4855">
      <w:rPr>
        <w:rFonts w:ascii="CG Times" w:hAnsi="CG Times"/>
      </w:rPr>
      <w:t xml:space="preserve">TAA </w:t>
    </w:r>
    <w:r w:rsidR="003E734C">
      <w:rPr>
        <w:rFonts w:ascii="CG Times" w:hAnsi="CG Times"/>
      </w:rPr>
      <w:t xml:space="preserve">Procedures for </w:t>
    </w:r>
    <w:r w:rsidR="00080783">
      <w:rPr>
        <w:rFonts w:ascii="CG Times" w:hAnsi="CG Times"/>
      </w:rPr>
      <w:t>Adversely</w:t>
    </w:r>
    <w:r w:rsidR="00DF01D5">
      <w:rPr>
        <w:rFonts w:ascii="CG Times" w:hAnsi="CG Times"/>
      </w:rPr>
      <w:t xml:space="preserve"> </w:t>
    </w:r>
    <w:r w:rsidR="003E734C">
      <w:rPr>
        <w:rFonts w:ascii="CG Times" w:hAnsi="CG Times"/>
      </w:rPr>
      <w:t xml:space="preserve">Affected </w:t>
    </w:r>
    <w:r w:rsidR="00BD7553">
      <w:rPr>
        <w:rFonts w:ascii="CG Times" w:hAnsi="CG Times"/>
      </w:rPr>
      <w:t xml:space="preserve">Workers Change </w:t>
    </w:r>
    <w:r w:rsidR="002A71AB">
      <w:rPr>
        <w:rFonts w:ascii="CG Times" w:hAnsi="CG Times"/>
      </w:rPr>
      <w:t>2</w:t>
    </w:r>
    <w:r w:rsidR="00BD7553">
      <w:rPr>
        <w:rFonts w:ascii="CG Times" w:hAnsi="CG Times"/>
      </w:rPr>
      <w:t xml:space="preserve"> </w:t>
    </w:r>
    <w:r w:rsidR="003E734C">
      <w:rPr>
        <w:rFonts w:ascii="CG Times" w:hAnsi="CG Times"/>
      </w:rPr>
      <w:t xml:space="preserve">—Page </w:t>
    </w:r>
    <w:r w:rsidR="0079163D">
      <w:rPr>
        <w:rStyle w:val="PageNumber"/>
      </w:rPr>
      <w:fldChar w:fldCharType="begin"/>
    </w:r>
    <w:r w:rsidR="003E734C">
      <w:rPr>
        <w:rStyle w:val="PageNumber"/>
      </w:rPr>
      <w:instrText xml:space="preserve"> PAGE </w:instrText>
    </w:r>
    <w:r w:rsidR="0079163D">
      <w:rPr>
        <w:rStyle w:val="PageNumber"/>
      </w:rPr>
      <w:fldChar w:fldCharType="separate"/>
    </w:r>
    <w:r w:rsidR="007C3A2E">
      <w:rPr>
        <w:rStyle w:val="PageNumber"/>
        <w:noProof/>
      </w:rPr>
      <w:t>2</w:t>
    </w:r>
    <w:r w:rsidR="0079163D">
      <w:rPr>
        <w:rStyle w:val="PageNumber"/>
      </w:rPr>
      <w:fldChar w:fldCharType="end"/>
    </w:r>
    <w:r w:rsidR="003E734C" w:rsidRPr="00316CDC">
      <w:rPr>
        <w:rStyle w:val="PageNumber"/>
      </w:rPr>
      <w:t xml:space="preserve"> </w:t>
    </w:r>
    <w:r w:rsidR="003E734C">
      <w:rPr>
        <w:rStyle w:val="PageNumber"/>
        <w:rFonts w:ascii="CG Times" w:hAnsi="CG Times"/>
      </w:rPr>
      <w:br/>
      <w:t xml:space="preserve"> </w:t>
    </w:r>
  </w:p>
  <w:p w14:paraId="25A981F5" w14:textId="77777777" w:rsidR="003E734C" w:rsidRDefault="003E7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A6C8F" w14:textId="77777777" w:rsidR="00D86562" w:rsidRDefault="00D86562" w:rsidP="00993099">
      <w:r>
        <w:separator/>
      </w:r>
    </w:p>
  </w:footnote>
  <w:footnote w:type="continuationSeparator" w:id="0">
    <w:p w14:paraId="1238D236" w14:textId="77777777" w:rsidR="00D86562" w:rsidRDefault="00D86562" w:rsidP="00993099">
      <w:r>
        <w:continuationSeparator/>
      </w:r>
    </w:p>
  </w:footnote>
  <w:footnote w:type="continuationNotice" w:id="1">
    <w:p w14:paraId="7ADC638E" w14:textId="77777777" w:rsidR="00D86562" w:rsidRDefault="00D865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4B7"/>
    <w:multiLevelType w:val="hybridMultilevel"/>
    <w:tmpl w:val="05B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2AD4"/>
    <w:multiLevelType w:val="hybridMultilevel"/>
    <w:tmpl w:val="4332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7631"/>
    <w:multiLevelType w:val="hybridMultilevel"/>
    <w:tmpl w:val="8E083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6758"/>
    <w:multiLevelType w:val="hybridMultilevel"/>
    <w:tmpl w:val="5F0A7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00980"/>
    <w:multiLevelType w:val="hybridMultilevel"/>
    <w:tmpl w:val="2A1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2276"/>
    <w:multiLevelType w:val="hybridMultilevel"/>
    <w:tmpl w:val="8668B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541CE"/>
    <w:multiLevelType w:val="hybridMultilevel"/>
    <w:tmpl w:val="4A94A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0169B"/>
    <w:multiLevelType w:val="hybridMultilevel"/>
    <w:tmpl w:val="F8B4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75943"/>
    <w:multiLevelType w:val="hybridMultilevel"/>
    <w:tmpl w:val="49DE219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330F7DC4"/>
    <w:multiLevelType w:val="hybridMultilevel"/>
    <w:tmpl w:val="8DF8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753E0"/>
    <w:multiLevelType w:val="hybridMultilevel"/>
    <w:tmpl w:val="07BC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B597A"/>
    <w:multiLevelType w:val="hybridMultilevel"/>
    <w:tmpl w:val="A95844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6A20F6"/>
    <w:multiLevelType w:val="hybridMultilevel"/>
    <w:tmpl w:val="6A407F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B54A31"/>
    <w:multiLevelType w:val="hybridMultilevel"/>
    <w:tmpl w:val="620E0C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31813D8"/>
    <w:multiLevelType w:val="hybridMultilevel"/>
    <w:tmpl w:val="50EA896A"/>
    <w:lvl w:ilvl="0" w:tplc="E70E94A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417A17"/>
    <w:multiLevelType w:val="hybridMultilevel"/>
    <w:tmpl w:val="162E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83304F"/>
    <w:multiLevelType w:val="hybridMultilevel"/>
    <w:tmpl w:val="1B48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C5C16"/>
    <w:multiLevelType w:val="hybridMultilevel"/>
    <w:tmpl w:val="E954F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42F09"/>
    <w:multiLevelType w:val="hybridMultilevel"/>
    <w:tmpl w:val="2F6CC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9F700D"/>
    <w:multiLevelType w:val="hybridMultilevel"/>
    <w:tmpl w:val="C98C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1019B"/>
    <w:multiLevelType w:val="hybridMultilevel"/>
    <w:tmpl w:val="67825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351D9B"/>
    <w:multiLevelType w:val="hybridMultilevel"/>
    <w:tmpl w:val="FE04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710C63"/>
    <w:multiLevelType w:val="hybridMultilevel"/>
    <w:tmpl w:val="D8F25F82"/>
    <w:lvl w:ilvl="0" w:tplc="9C0E390C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11"/>
  </w:num>
  <w:num w:numId="5">
    <w:abstractNumId w:val="14"/>
  </w:num>
  <w:num w:numId="6">
    <w:abstractNumId w:val="7"/>
  </w:num>
  <w:num w:numId="7">
    <w:abstractNumId w:val="6"/>
  </w:num>
  <w:num w:numId="8">
    <w:abstractNumId w:val="17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8"/>
  </w:num>
  <w:num w:numId="13">
    <w:abstractNumId w:val="13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5"/>
  </w:num>
  <w:num w:numId="18">
    <w:abstractNumId w:val="4"/>
  </w:num>
  <w:num w:numId="19">
    <w:abstractNumId w:val="16"/>
  </w:num>
  <w:num w:numId="20">
    <w:abstractNumId w:val="20"/>
  </w:num>
  <w:num w:numId="21">
    <w:abstractNumId w:val="0"/>
  </w:num>
  <w:num w:numId="22">
    <w:abstractNumId w:val="19"/>
  </w:num>
  <w:num w:numId="23">
    <w:abstractNumId w:val="1"/>
  </w:num>
  <w:num w:numId="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71"/>
    <w:rsid w:val="00005E4D"/>
    <w:rsid w:val="00023112"/>
    <w:rsid w:val="00035605"/>
    <w:rsid w:val="000410ED"/>
    <w:rsid w:val="00041D28"/>
    <w:rsid w:val="00042BCA"/>
    <w:rsid w:val="000518CC"/>
    <w:rsid w:val="00052335"/>
    <w:rsid w:val="00054860"/>
    <w:rsid w:val="0005531F"/>
    <w:rsid w:val="000623D2"/>
    <w:rsid w:val="00062C6D"/>
    <w:rsid w:val="0006514A"/>
    <w:rsid w:val="00066041"/>
    <w:rsid w:val="000662B9"/>
    <w:rsid w:val="00073693"/>
    <w:rsid w:val="000750BE"/>
    <w:rsid w:val="00080783"/>
    <w:rsid w:val="00083535"/>
    <w:rsid w:val="00085136"/>
    <w:rsid w:val="000906D5"/>
    <w:rsid w:val="000972EB"/>
    <w:rsid w:val="000A121D"/>
    <w:rsid w:val="000A1558"/>
    <w:rsid w:val="000A1AEE"/>
    <w:rsid w:val="000A3EA9"/>
    <w:rsid w:val="000A531F"/>
    <w:rsid w:val="000B6F0D"/>
    <w:rsid w:val="000C09C9"/>
    <w:rsid w:val="000C2290"/>
    <w:rsid w:val="000C29F2"/>
    <w:rsid w:val="000C5E08"/>
    <w:rsid w:val="000D0D85"/>
    <w:rsid w:val="000D3FE0"/>
    <w:rsid w:val="000F2586"/>
    <w:rsid w:val="000F3A30"/>
    <w:rsid w:val="000F74E5"/>
    <w:rsid w:val="001005D3"/>
    <w:rsid w:val="001020B1"/>
    <w:rsid w:val="0010341E"/>
    <w:rsid w:val="0010592E"/>
    <w:rsid w:val="0010744A"/>
    <w:rsid w:val="0011079D"/>
    <w:rsid w:val="001270C0"/>
    <w:rsid w:val="00130A61"/>
    <w:rsid w:val="0013208B"/>
    <w:rsid w:val="00132B5F"/>
    <w:rsid w:val="00134AE6"/>
    <w:rsid w:val="001419C3"/>
    <w:rsid w:val="00152E73"/>
    <w:rsid w:val="0015383B"/>
    <w:rsid w:val="001560EA"/>
    <w:rsid w:val="00156684"/>
    <w:rsid w:val="00157EF8"/>
    <w:rsid w:val="00161822"/>
    <w:rsid w:val="0017380E"/>
    <w:rsid w:val="00177FF1"/>
    <w:rsid w:val="001840BF"/>
    <w:rsid w:val="00184B27"/>
    <w:rsid w:val="00186724"/>
    <w:rsid w:val="00186DB8"/>
    <w:rsid w:val="00190579"/>
    <w:rsid w:val="001A13AA"/>
    <w:rsid w:val="001A6ACF"/>
    <w:rsid w:val="001B799F"/>
    <w:rsid w:val="001C0547"/>
    <w:rsid w:val="001C3873"/>
    <w:rsid w:val="001C3EE3"/>
    <w:rsid w:val="001D08C8"/>
    <w:rsid w:val="001D3CD3"/>
    <w:rsid w:val="001E233F"/>
    <w:rsid w:val="001E29F7"/>
    <w:rsid w:val="001E6515"/>
    <w:rsid w:val="001E7234"/>
    <w:rsid w:val="001F147B"/>
    <w:rsid w:val="002004CB"/>
    <w:rsid w:val="002014E7"/>
    <w:rsid w:val="002018F8"/>
    <w:rsid w:val="0020507B"/>
    <w:rsid w:val="00212877"/>
    <w:rsid w:val="00213134"/>
    <w:rsid w:val="0021472E"/>
    <w:rsid w:val="00221C46"/>
    <w:rsid w:val="0022305C"/>
    <w:rsid w:val="002252AC"/>
    <w:rsid w:val="002316B4"/>
    <w:rsid w:val="002327A3"/>
    <w:rsid w:val="00240D4B"/>
    <w:rsid w:val="00240E2D"/>
    <w:rsid w:val="002458FA"/>
    <w:rsid w:val="002510B2"/>
    <w:rsid w:val="00251A6A"/>
    <w:rsid w:val="00254650"/>
    <w:rsid w:val="00255D7D"/>
    <w:rsid w:val="002566D5"/>
    <w:rsid w:val="00257E59"/>
    <w:rsid w:val="00260087"/>
    <w:rsid w:val="00261BCB"/>
    <w:rsid w:val="002631E2"/>
    <w:rsid w:val="00267374"/>
    <w:rsid w:val="00270796"/>
    <w:rsid w:val="002718A6"/>
    <w:rsid w:val="002742F0"/>
    <w:rsid w:val="00280181"/>
    <w:rsid w:val="00280A8D"/>
    <w:rsid w:val="002909DC"/>
    <w:rsid w:val="0029225E"/>
    <w:rsid w:val="00292D93"/>
    <w:rsid w:val="00293906"/>
    <w:rsid w:val="0029678F"/>
    <w:rsid w:val="002A1D5E"/>
    <w:rsid w:val="002A71AB"/>
    <w:rsid w:val="002A71D9"/>
    <w:rsid w:val="002B6C9D"/>
    <w:rsid w:val="002C07ED"/>
    <w:rsid w:val="002C3E78"/>
    <w:rsid w:val="002D5CA5"/>
    <w:rsid w:val="002D6B77"/>
    <w:rsid w:val="002E0146"/>
    <w:rsid w:val="002E6CB0"/>
    <w:rsid w:val="002E74F0"/>
    <w:rsid w:val="002F0C1B"/>
    <w:rsid w:val="002F5AD2"/>
    <w:rsid w:val="00302240"/>
    <w:rsid w:val="00306C75"/>
    <w:rsid w:val="00307717"/>
    <w:rsid w:val="00311C94"/>
    <w:rsid w:val="00312240"/>
    <w:rsid w:val="00316CDC"/>
    <w:rsid w:val="00317CC4"/>
    <w:rsid w:val="00325A85"/>
    <w:rsid w:val="00327091"/>
    <w:rsid w:val="00332090"/>
    <w:rsid w:val="00333757"/>
    <w:rsid w:val="003352C8"/>
    <w:rsid w:val="0034366D"/>
    <w:rsid w:val="003468CB"/>
    <w:rsid w:val="0034710D"/>
    <w:rsid w:val="003538E8"/>
    <w:rsid w:val="00365932"/>
    <w:rsid w:val="00366507"/>
    <w:rsid w:val="00371E0E"/>
    <w:rsid w:val="0037393A"/>
    <w:rsid w:val="003839D7"/>
    <w:rsid w:val="00383C19"/>
    <w:rsid w:val="0038590C"/>
    <w:rsid w:val="00385D63"/>
    <w:rsid w:val="00386FDA"/>
    <w:rsid w:val="00393298"/>
    <w:rsid w:val="00394880"/>
    <w:rsid w:val="003A40D5"/>
    <w:rsid w:val="003A581C"/>
    <w:rsid w:val="003A76E5"/>
    <w:rsid w:val="003B229C"/>
    <w:rsid w:val="003B3C2C"/>
    <w:rsid w:val="003B4623"/>
    <w:rsid w:val="003C1726"/>
    <w:rsid w:val="003C1FAA"/>
    <w:rsid w:val="003C5EEA"/>
    <w:rsid w:val="003C79D5"/>
    <w:rsid w:val="003D108E"/>
    <w:rsid w:val="003D3927"/>
    <w:rsid w:val="003D43AD"/>
    <w:rsid w:val="003E0634"/>
    <w:rsid w:val="003E734C"/>
    <w:rsid w:val="003E7F9B"/>
    <w:rsid w:val="003F49D9"/>
    <w:rsid w:val="00400123"/>
    <w:rsid w:val="00406941"/>
    <w:rsid w:val="00410D0D"/>
    <w:rsid w:val="00412791"/>
    <w:rsid w:val="00415E33"/>
    <w:rsid w:val="00426E33"/>
    <w:rsid w:val="00431121"/>
    <w:rsid w:val="004318A7"/>
    <w:rsid w:val="004364D9"/>
    <w:rsid w:val="00445253"/>
    <w:rsid w:val="00445396"/>
    <w:rsid w:val="00452CAE"/>
    <w:rsid w:val="00460977"/>
    <w:rsid w:val="004617A1"/>
    <w:rsid w:val="00461F30"/>
    <w:rsid w:val="004730F7"/>
    <w:rsid w:val="0047503B"/>
    <w:rsid w:val="00475A34"/>
    <w:rsid w:val="0047D975"/>
    <w:rsid w:val="00480D28"/>
    <w:rsid w:val="00482701"/>
    <w:rsid w:val="00482AC4"/>
    <w:rsid w:val="00493F01"/>
    <w:rsid w:val="004A024B"/>
    <w:rsid w:val="004A2AB7"/>
    <w:rsid w:val="004A6EB3"/>
    <w:rsid w:val="004A7BCF"/>
    <w:rsid w:val="004B4C81"/>
    <w:rsid w:val="004B4DC7"/>
    <w:rsid w:val="004B7AAC"/>
    <w:rsid w:val="004B7F1E"/>
    <w:rsid w:val="004C1EFD"/>
    <w:rsid w:val="004C4646"/>
    <w:rsid w:val="004C53AE"/>
    <w:rsid w:val="004E69FB"/>
    <w:rsid w:val="004E74B0"/>
    <w:rsid w:val="00501962"/>
    <w:rsid w:val="00504DCD"/>
    <w:rsid w:val="00517879"/>
    <w:rsid w:val="00517AE4"/>
    <w:rsid w:val="00525256"/>
    <w:rsid w:val="005261E6"/>
    <w:rsid w:val="00526BC2"/>
    <w:rsid w:val="005314BD"/>
    <w:rsid w:val="00533966"/>
    <w:rsid w:val="00540AB9"/>
    <w:rsid w:val="005423D8"/>
    <w:rsid w:val="00542B2B"/>
    <w:rsid w:val="0054393D"/>
    <w:rsid w:val="00553A3A"/>
    <w:rsid w:val="005626A3"/>
    <w:rsid w:val="00562A31"/>
    <w:rsid w:val="0057245A"/>
    <w:rsid w:val="0057627F"/>
    <w:rsid w:val="00576CE0"/>
    <w:rsid w:val="00584269"/>
    <w:rsid w:val="005863B5"/>
    <w:rsid w:val="0059150E"/>
    <w:rsid w:val="005919AF"/>
    <w:rsid w:val="00594895"/>
    <w:rsid w:val="005A53CF"/>
    <w:rsid w:val="005D0A59"/>
    <w:rsid w:val="005E0A9C"/>
    <w:rsid w:val="005E1269"/>
    <w:rsid w:val="005E5F54"/>
    <w:rsid w:val="005F1440"/>
    <w:rsid w:val="005F4939"/>
    <w:rsid w:val="005F7851"/>
    <w:rsid w:val="00605834"/>
    <w:rsid w:val="006063FC"/>
    <w:rsid w:val="00607CCB"/>
    <w:rsid w:val="00621517"/>
    <w:rsid w:val="00625A33"/>
    <w:rsid w:val="00627F82"/>
    <w:rsid w:val="00627FF7"/>
    <w:rsid w:val="00631750"/>
    <w:rsid w:val="00631B7B"/>
    <w:rsid w:val="0063781D"/>
    <w:rsid w:val="00643FDB"/>
    <w:rsid w:val="00653727"/>
    <w:rsid w:val="00661FC7"/>
    <w:rsid w:val="00665AFE"/>
    <w:rsid w:val="00670196"/>
    <w:rsid w:val="00671C95"/>
    <w:rsid w:val="006743E8"/>
    <w:rsid w:val="00675FC4"/>
    <w:rsid w:val="00676857"/>
    <w:rsid w:val="00684F46"/>
    <w:rsid w:val="006853A4"/>
    <w:rsid w:val="006910D5"/>
    <w:rsid w:val="00697833"/>
    <w:rsid w:val="006A0824"/>
    <w:rsid w:val="006A63F4"/>
    <w:rsid w:val="006A71AF"/>
    <w:rsid w:val="006A7CFD"/>
    <w:rsid w:val="006B13F0"/>
    <w:rsid w:val="006B2ABE"/>
    <w:rsid w:val="006B5525"/>
    <w:rsid w:val="006C0C03"/>
    <w:rsid w:val="006C0EF4"/>
    <w:rsid w:val="006C4462"/>
    <w:rsid w:val="006D0495"/>
    <w:rsid w:val="006D20FA"/>
    <w:rsid w:val="006D2ADB"/>
    <w:rsid w:val="006D2DE5"/>
    <w:rsid w:val="006E1A1B"/>
    <w:rsid w:val="006E2CF4"/>
    <w:rsid w:val="006E49A9"/>
    <w:rsid w:val="006F0031"/>
    <w:rsid w:val="006F127B"/>
    <w:rsid w:val="006F3920"/>
    <w:rsid w:val="00705790"/>
    <w:rsid w:val="00705D10"/>
    <w:rsid w:val="00711357"/>
    <w:rsid w:val="00717D83"/>
    <w:rsid w:val="00722D7A"/>
    <w:rsid w:val="00727845"/>
    <w:rsid w:val="00727A06"/>
    <w:rsid w:val="00731DA6"/>
    <w:rsid w:val="00734970"/>
    <w:rsid w:val="007353C1"/>
    <w:rsid w:val="007430E6"/>
    <w:rsid w:val="0074438E"/>
    <w:rsid w:val="00744716"/>
    <w:rsid w:val="0075523D"/>
    <w:rsid w:val="00755962"/>
    <w:rsid w:val="00757E0B"/>
    <w:rsid w:val="00765F6F"/>
    <w:rsid w:val="007807BB"/>
    <w:rsid w:val="00783A6B"/>
    <w:rsid w:val="007862D6"/>
    <w:rsid w:val="0079163D"/>
    <w:rsid w:val="00791F91"/>
    <w:rsid w:val="007A0003"/>
    <w:rsid w:val="007A6BB8"/>
    <w:rsid w:val="007A787A"/>
    <w:rsid w:val="007B0039"/>
    <w:rsid w:val="007B3CAB"/>
    <w:rsid w:val="007C15B0"/>
    <w:rsid w:val="007C3A2E"/>
    <w:rsid w:val="007E0D64"/>
    <w:rsid w:val="007E35BF"/>
    <w:rsid w:val="007E4C54"/>
    <w:rsid w:val="007F652D"/>
    <w:rsid w:val="007F655F"/>
    <w:rsid w:val="007F747C"/>
    <w:rsid w:val="00804C20"/>
    <w:rsid w:val="00813EC1"/>
    <w:rsid w:val="00826896"/>
    <w:rsid w:val="00832919"/>
    <w:rsid w:val="00841554"/>
    <w:rsid w:val="008421F8"/>
    <w:rsid w:val="00842CDC"/>
    <w:rsid w:val="008521E9"/>
    <w:rsid w:val="00852FD1"/>
    <w:rsid w:val="00853741"/>
    <w:rsid w:val="00857201"/>
    <w:rsid w:val="00860029"/>
    <w:rsid w:val="00863E4B"/>
    <w:rsid w:val="008653AF"/>
    <w:rsid w:val="008703F6"/>
    <w:rsid w:val="008715E9"/>
    <w:rsid w:val="008738B5"/>
    <w:rsid w:val="00874BD5"/>
    <w:rsid w:val="00885183"/>
    <w:rsid w:val="008864AA"/>
    <w:rsid w:val="00887E9B"/>
    <w:rsid w:val="008947B0"/>
    <w:rsid w:val="008A6B2A"/>
    <w:rsid w:val="008B0130"/>
    <w:rsid w:val="008B091A"/>
    <w:rsid w:val="008C73D7"/>
    <w:rsid w:val="008D0E47"/>
    <w:rsid w:val="008D373C"/>
    <w:rsid w:val="008D645D"/>
    <w:rsid w:val="008E280E"/>
    <w:rsid w:val="008F0BD6"/>
    <w:rsid w:val="008F6193"/>
    <w:rsid w:val="008F7C85"/>
    <w:rsid w:val="00910A74"/>
    <w:rsid w:val="0091451F"/>
    <w:rsid w:val="00915153"/>
    <w:rsid w:val="00916FED"/>
    <w:rsid w:val="00917B46"/>
    <w:rsid w:val="00925F59"/>
    <w:rsid w:val="00930ABA"/>
    <w:rsid w:val="00930F37"/>
    <w:rsid w:val="00944545"/>
    <w:rsid w:val="00944706"/>
    <w:rsid w:val="00946C08"/>
    <w:rsid w:val="00956D7B"/>
    <w:rsid w:val="009611D4"/>
    <w:rsid w:val="009619C8"/>
    <w:rsid w:val="00961C9D"/>
    <w:rsid w:val="009634DE"/>
    <w:rsid w:val="009723E8"/>
    <w:rsid w:val="009765B1"/>
    <w:rsid w:val="009806E6"/>
    <w:rsid w:val="009820C5"/>
    <w:rsid w:val="00983021"/>
    <w:rsid w:val="00985EB6"/>
    <w:rsid w:val="0098709F"/>
    <w:rsid w:val="00987A51"/>
    <w:rsid w:val="00993099"/>
    <w:rsid w:val="00993FB7"/>
    <w:rsid w:val="00994548"/>
    <w:rsid w:val="0099463E"/>
    <w:rsid w:val="009A1507"/>
    <w:rsid w:val="009A52AC"/>
    <w:rsid w:val="009B5490"/>
    <w:rsid w:val="009C0454"/>
    <w:rsid w:val="009C75BB"/>
    <w:rsid w:val="009D053D"/>
    <w:rsid w:val="009D0D95"/>
    <w:rsid w:val="009D2E8F"/>
    <w:rsid w:val="009E07A7"/>
    <w:rsid w:val="009F18E6"/>
    <w:rsid w:val="009F4718"/>
    <w:rsid w:val="009F5BDE"/>
    <w:rsid w:val="009F5D64"/>
    <w:rsid w:val="00A02434"/>
    <w:rsid w:val="00A1146B"/>
    <w:rsid w:val="00A1293D"/>
    <w:rsid w:val="00A16A6E"/>
    <w:rsid w:val="00A204C4"/>
    <w:rsid w:val="00A247F0"/>
    <w:rsid w:val="00A24F18"/>
    <w:rsid w:val="00A31091"/>
    <w:rsid w:val="00A37891"/>
    <w:rsid w:val="00A4013F"/>
    <w:rsid w:val="00A4306C"/>
    <w:rsid w:val="00A468FD"/>
    <w:rsid w:val="00A5087B"/>
    <w:rsid w:val="00A51EBD"/>
    <w:rsid w:val="00A55655"/>
    <w:rsid w:val="00A615E4"/>
    <w:rsid w:val="00A748D9"/>
    <w:rsid w:val="00A76CB9"/>
    <w:rsid w:val="00A804A0"/>
    <w:rsid w:val="00A81771"/>
    <w:rsid w:val="00A8475C"/>
    <w:rsid w:val="00A87648"/>
    <w:rsid w:val="00A9510D"/>
    <w:rsid w:val="00AA1370"/>
    <w:rsid w:val="00AA5108"/>
    <w:rsid w:val="00AA652B"/>
    <w:rsid w:val="00AA7933"/>
    <w:rsid w:val="00AB5208"/>
    <w:rsid w:val="00AB5FD0"/>
    <w:rsid w:val="00AC1ABE"/>
    <w:rsid w:val="00AC6819"/>
    <w:rsid w:val="00AC703C"/>
    <w:rsid w:val="00AD4DC1"/>
    <w:rsid w:val="00AD6996"/>
    <w:rsid w:val="00AE1744"/>
    <w:rsid w:val="00AE175B"/>
    <w:rsid w:val="00AE5508"/>
    <w:rsid w:val="00AE61DA"/>
    <w:rsid w:val="00AF0C98"/>
    <w:rsid w:val="00AF6793"/>
    <w:rsid w:val="00AF77AB"/>
    <w:rsid w:val="00B006BE"/>
    <w:rsid w:val="00B0506B"/>
    <w:rsid w:val="00B05907"/>
    <w:rsid w:val="00B121A6"/>
    <w:rsid w:val="00B12960"/>
    <w:rsid w:val="00B12DC9"/>
    <w:rsid w:val="00B12E87"/>
    <w:rsid w:val="00B147B0"/>
    <w:rsid w:val="00B160FB"/>
    <w:rsid w:val="00B20502"/>
    <w:rsid w:val="00B20D0E"/>
    <w:rsid w:val="00B23869"/>
    <w:rsid w:val="00B277BE"/>
    <w:rsid w:val="00B30720"/>
    <w:rsid w:val="00B46E47"/>
    <w:rsid w:val="00B471A6"/>
    <w:rsid w:val="00B53C8D"/>
    <w:rsid w:val="00B6032D"/>
    <w:rsid w:val="00B62B4D"/>
    <w:rsid w:val="00B6677E"/>
    <w:rsid w:val="00B75EC6"/>
    <w:rsid w:val="00B773A0"/>
    <w:rsid w:val="00B778B3"/>
    <w:rsid w:val="00B77B10"/>
    <w:rsid w:val="00B77EBA"/>
    <w:rsid w:val="00B85778"/>
    <w:rsid w:val="00B920E5"/>
    <w:rsid w:val="00B92FBD"/>
    <w:rsid w:val="00BA17B1"/>
    <w:rsid w:val="00BA22F1"/>
    <w:rsid w:val="00BA275F"/>
    <w:rsid w:val="00BA2938"/>
    <w:rsid w:val="00BA3B66"/>
    <w:rsid w:val="00BA59E9"/>
    <w:rsid w:val="00BB2F71"/>
    <w:rsid w:val="00BB5780"/>
    <w:rsid w:val="00BB59EC"/>
    <w:rsid w:val="00BC2455"/>
    <w:rsid w:val="00BC3DDB"/>
    <w:rsid w:val="00BC746D"/>
    <w:rsid w:val="00BD3A7B"/>
    <w:rsid w:val="00BD44E0"/>
    <w:rsid w:val="00BD4962"/>
    <w:rsid w:val="00BD7553"/>
    <w:rsid w:val="00BE2B2A"/>
    <w:rsid w:val="00BE5480"/>
    <w:rsid w:val="00C04FA4"/>
    <w:rsid w:val="00C112F7"/>
    <w:rsid w:val="00C203AB"/>
    <w:rsid w:val="00C20624"/>
    <w:rsid w:val="00C225FC"/>
    <w:rsid w:val="00C23418"/>
    <w:rsid w:val="00C3673C"/>
    <w:rsid w:val="00C370B0"/>
    <w:rsid w:val="00C45AD0"/>
    <w:rsid w:val="00C63533"/>
    <w:rsid w:val="00C658A9"/>
    <w:rsid w:val="00C71152"/>
    <w:rsid w:val="00C71892"/>
    <w:rsid w:val="00C7429D"/>
    <w:rsid w:val="00C75ABD"/>
    <w:rsid w:val="00C83003"/>
    <w:rsid w:val="00C848A6"/>
    <w:rsid w:val="00C858B9"/>
    <w:rsid w:val="00C87FAE"/>
    <w:rsid w:val="00CA1E88"/>
    <w:rsid w:val="00CA4D49"/>
    <w:rsid w:val="00CA766A"/>
    <w:rsid w:val="00CB1584"/>
    <w:rsid w:val="00CB1BAA"/>
    <w:rsid w:val="00CB65A8"/>
    <w:rsid w:val="00CB7FD5"/>
    <w:rsid w:val="00CC16BF"/>
    <w:rsid w:val="00CC2334"/>
    <w:rsid w:val="00CC54E5"/>
    <w:rsid w:val="00CC55AB"/>
    <w:rsid w:val="00CC5A71"/>
    <w:rsid w:val="00CC6BF9"/>
    <w:rsid w:val="00CC7657"/>
    <w:rsid w:val="00CD477D"/>
    <w:rsid w:val="00CD60B1"/>
    <w:rsid w:val="00CE33AC"/>
    <w:rsid w:val="00CF0F94"/>
    <w:rsid w:val="00CF4B17"/>
    <w:rsid w:val="00CF7221"/>
    <w:rsid w:val="00D049B8"/>
    <w:rsid w:val="00D05535"/>
    <w:rsid w:val="00D27326"/>
    <w:rsid w:val="00D3162B"/>
    <w:rsid w:val="00D34326"/>
    <w:rsid w:val="00D36223"/>
    <w:rsid w:val="00D43F8A"/>
    <w:rsid w:val="00D44772"/>
    <w:rsid w:val="00D57848"/>
    <w:rsid w:val="00D64615"/>
    <w:rsid w:val="00D66A7D"/>
    <w:rsid w:val="00D705B3"/>
    <w:rsid w:val="00D806AA"/>
    <w:rsid w:val="00D82C15"/>
    <w:rsid w:val="00D84149"/>
    <w:rsid w:val="00D86562"/>
    <w:rsid w:val="00D87355"/>
    <w:rsid w:val="00D87DF4"/>
    <w:rsid w:val="00D93F10"/>
    <w:rsid w:val="00D94361"/>
    <w:rsid w:val="00DA2595"/>
    <w:rsid w:val="00DA3ECD"/>
    <w:rsid w:val="00DA5A79"/>
    <w:rsid w:val="00DB0194"/>
    <w:rsid w:val="00DC3C0A"/>
    <w:rsid w:val="00DC4CE7"/>
    <w:rsid w:val="00DC70D9"/>
    <w:rsid w:val="00DD4626"/>
    <w:rsid w:val="00DD4855"/>
    <w:rsid w:val="00DD4CB0"/>
    <w:rsid w:val="00DD7AE2"/>
    <w:rsid w:val="00DE1F65"/>
    <w:rsid w:val="00DE3B99"/>
    <w:rsid w:val="00DE6A01"/>
    <w:rsid w:val="00DF01D5"/>
    <w:rsid w:val="00DF15B6"/>
    <w:rsid w:val="00DF170D"/>
    <w:rsid w:val="00DF3865"/>
    <w:rsid w:val="00DF4128"/>
    <w:rsid w:val="00DF65A3"/>
    <w:rsid w:val="00DF7FF4"/>
    <w:rsid w:val="00E00C1E"/>
    <w:rsid w:val="00E01AF3"/>
    <w:rsid w:val="00E01EF5"/>
    <w:rsid w:val="00E04DF5"/>
    <w:rsid w:val="00E15BE5"/>
    <w:rsid w:val="00E16A1F"/>
    <w:rsid w:val="00E20DB9"/>
    <w:rsid w:val="00E21944"/>
    <w:rsid w:val="00E23C86"/>
    <w:rsid w:val="00E31D4C"/>
    <w:rsid w:val="00E323D1"/>
    <w:rsid w:val="00E32BFA"/>
    <w:rsid w:val="00E3450F"/>
    <w:rsid w:val="00E35008"/>
    <w:rsid w:val="00E3547D"/>
    <w:rsid w:val="00E36269"/>
    <w:rsid w:val="00E52B36"/>
    <w:rsid w:val="00E531C2"/>
    <w:rsid w:val="00E53527"/>
    <w:rsid w:val="00E6439B"/>
    <w:rsid w:val="00E6441F"/>
    <w:rsid w:val="00E66ECF"/>
    <w:rsid w:val="00E6770B"/>
    <w:rsid w:val="00E73735"/>
    <w:rsid w:val="00E73D60"/>
    <w:rsid w:val="00E873C4"/>
    <w:rsid w:val="00E90A2B"/>
    <w:rsid w:val="00E928C6"/>
    <w:rsid w:val="00E94E4D"/>
    <w:rsid w:val="00E952FB"/>
    <w:rsid w:val="00E95BAE"/>
    <w:rsid w:val="00E97491"/>
    <w:rsid w:val="00EA1461"/>
    <w:rsid w:val="00EA34AC"/>
    <w:rsid w:val="00EA4456"/>
    <w:rsid w:val="00EA70EA"/>
    <w:rsid w:val="00EB2747"/>
    <w:rsid w:val="00EB50E5"/>
    <w:rsid w:val="00EB5F56"/>
    <w:rsid w:val="00ED1707"/>
    <w:rsid w:val="00ED2FF2"/>
    <w:rsid w:val="00EE6419"/>
    <w:rsid w:val="00EE7897"/>
    <w:rsid w:val="00EF765B"/>
    <w:rsid w:val="00F00194"/>
    <w:rsid w:val="00F03C25"/>
    <w:rsid w:val="00F131F2"/>
    <w:rsid w:val="00F16C8A"/>
    <w:rsid w:val="00F23BB7"/>
    <w:rsid w:val="00F25CAA"/>
    <w:rsid w:val="00F308C2"/>
    <w:rsid w:val="00F311D6"/>
    <w:rsid w:val="00F3546F"/>
    <w:rsid w:val="00F35ABF"/>
    <w:rsid w:val="00F41B39"/>
    <w:rsid w:val="00F4300D"/>
    <w:rsid w:val="00F44C06"/>
    <w:rsid w:val="00F5272D"/>
    <w:rsid w:val="00F5448C"/>
    <w:rsid w:val="00F56096"/>
    <w:rsid w:val="00F65B08"/>
    <w:rsid w:val="00F67061"/>
    <w:rsid w:val="00F71016"/>
    <w:rsid w:val="00F74D86"/>
    <w:rsid w:val="00F76D84"/>
    <w:rsid w:val="00F80333"/>
    <w:rsid w:val="00F839E2"/>
    <w:rsid w:val="00F8530C"/>
    <w:rsid w:val="00F90733"/>
    <w:rsid w:val="00F90AC7"/>
    <w:rsid w:val="00FA1887"/>
    <w:rsid w:val="00FA3EB0"/>
    <w:rsid w:val="00FA4512"/>
    <w:rsid w:val="00FB01ED"/>
    <w:rsid w:val="00FB1DF7"/>
    <w:rsid w:val="00FB20AB"/>
    <w:rsid w:val="00FB26CA"/>
    <w:rsid w:val="00FB4376"/>
    <w:rsid w:val="00FB5F9A"/>
    <w:rsid w:val="00FC02A0"/>
    <w:rsid w:val="00FC4690"/>
    <w:rsid w:val="00FC7DDC"/>
    <w:rsid w:val="00FD0001"/>
    <w:rsid w:val="00FD56E0"/>
    <w:rsid w:val="00FD6206"/>
    <w:rsid w:val="00FE13D7"/>
    <w:rsid w:val="00FE48A6"/>
    <w:rsid w:val="00FE76AF"/>
    <w:rsid w:val="0ADEB7F6"/>
    <w:rsid w:val="0B47359A"/>
    <w:rsid w:val="0FA73619"/>
    <w:rsid w:val="17007039"/>
    <w:rsid w:val="19FA9A14"/>
    <w:rsid w:val="1C5D3BF2"/>
    <w:rsid w:val="22C5BE42"/>
    <w:rsid w:val="25F1ECE7"/>
    <w:rsid w:val="275135C0"/>
    <w:rsid w:val="2B76171A"/>
    <w:rsid w:val="2DB59590"/>
    <w:rsid w:val="3373BD0D"/>
    <w:rsid w:val="392158D0"/>
    <w:rsid w:val="3D9A65BA"/>
    <w:rsid w:val="4038E3EA"/>
    <w:rsid w:val="40D2067C"/>
    <w:rsid w:val="46CD5F81"/>
    <w:rsid w:val="4723AC70"/>
    <w:rsid w:val="4A3F9B45"/>
    <w:rsid w:val="4A5FC065"/>
    <w:rsid w:val="5893B226"/>
    <w:rsid w:val="5B69A722"/>
    <w:rsid w:val="5CCA7FD4"/>
    <w:rsid w:val="63EEBA6F"/>
    <w:rsid w:val="6496D218"/>
    <w:rsid w:val="685017B0"/>
    <w:rsid w:val="687D13A8"/>
    <w:rsid w:val="69EBE811"/>
    <w:rsid w:val="6D2615CF"/>
    <w:rsid w:val="6FBA3E69"/>
    <w:rsid w:val="71DDD199"/>
    <w:rsid w:val="72CC5957"/>
    <w:rsid w:val="79C8B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A4E090"/>
  <w15:docId w15:val="{B9D5F615-F6EF-4930-9BDB-2775EA1D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E1269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A53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A53C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A53C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23D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930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30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9678F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26BC2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E94E4D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E94E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94E4D"/>
    <w:rPr>
      <w:rFonts w:cs="Times New Roman"/>
      <w:sz w:val="24"/>
      <w:szCs w:val="24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3FDB"/>
    <w:pPr>
      <w:widowControl/>
      <w:autoSpaceDE/>
      <w:autoSpaceDN/>
      <w:adjustRightInd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3FDB"/>
    <w:rPr>
      <w:rFonts w:ascii="Courier New" w:eastAsia="Calibri" w:hAnsi="Courier New" w:cs="Courier New"/>
    </w:rPr>
  </w:style>
  <w:style w:type="paragraph" w:customStyle="1" w:styleId="Default">
    <w:name w:val="Default"/>
    <w:rsid w:val="00A748D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087B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uiPriority w:val="9"/>
    <w:rsid w:val="005E1269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rksolutio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6" ma:contentTypeDescription="Create a new document." ma:contentTypeScope="" ma:versionID="9588e3d149584225615ea5004e241e4b">
  <xsd:schema xmlns:xsd="http://www.w3.org/2001/XMLSchema" xmlns:xs="http://www.w3.org/2001/XMLSchema" xmlns:p="http://schemas.microsoft.com/office/2006/metadata/properties" xmlns:ns1="http://schemas.microsoft.com/sharepoint/v3" xmlns:ns3="db9b5254-4bd8-4c90-96a6-10d6d4bf7cd3" xmlns:ns4="d3edf67f-6f1b-46c1-9f30-7b4c1812c64d" targetNamespace="http://schemas.microsoft.com/office/2006/metadata/properties" ma:root="true" ma:fieldsID="900c9f356391b82b86fffc09be808cae" ns1:_="" ns3:_="" ns4:_="">
    <xsd:import namespace="http://schemas.microsoft.com/sharepoint/v3"/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5359F3-E9A1-41F3-918A-DF645F5F0D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4C6D2-132C-4ECC-9265-C9E941241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5C077-2A6C-4B19-BC67-60595626F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F8FF3D-5DE7-49F7-84E2-F27AECC8588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3edf67f-6f1b-46c1-9f30-7b4c1812c64d"/>
    <ds:schemaRef ds:uri="http://purl.org/dc/terms/"/>
    <ds:schemaRef ds:uri="db9b5254-4bd8-4c90-96a6-10d6d4bf7cd3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3961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21-02 Trace Adjustment Assistance (TAA) - Procedures for Adversely Affected Customers Change 1</vt:lpstr>
    </vt:vector>
  </TitlesOfParts>
  <Company>Houston-Galveston Area Council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21-02 Trace Adjustment Assistance (TAA) - Procedures for Adversely Affected Customers Change 2</dc:title>
  <dc:subject/>
  <dc:creator>rogers</dc:creator>
  <cp:keywords>21-02 Trace Adjustment Assistance (TAA) - Procedures for Adversely Affected Customers Change 2</cp:keywords>
  <dc:description>21-02 Trace Adjustment Assistance (TAA) - Procedures for Adversely Affected Customers Change 2</dc:description>
  <cp:lastModifiedBy>Nguyen, Dat</cp:lastModifiedBy>
  <cp:revision>2</cp:revision>
  <cp:lastPrinted>2013-06-10T17:52:00Z</cp:lastPrinted>
  <dcterms:created xsi:type="dcterms:W3CDTF">2022-10-25T18:39:00Z</dcterms:created>
  <dcterms:modified xsi:type="dcterms:W3CDTF">2022-10-25T18:39:00Z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0x0101000869E17FB2855B4996DBFF895D0628DF</vt:lpwstr>
  </property>
</Properties>
</file>