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3DD34" w14:textId="74E1449E" w:rsidR="001B4AAE" w:rsidRDefault="001B4AAE" w:rsidP="001B4AAE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1B4AAE">
        <w:rPr>
          <w:b/>
          <w:bCs/>
          <w:sz w:val="28"/>
          <w:szCs w:val="28"/>
        </w:rPr>
        <w:t>Workforce Solutions Financial Aid Payment Office</w:t>
      </w:r>
    </w:p>
    <w:p w14:paraId="01125491" w14:textId="708DB84F" w:rsidR="001B4AAE" w:rsidRPr="001B4AAE" w:rsidRDefault="001B4AAE" w:rsidP="001B4AA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Determining Financial Stability</w:t>
      </w:r>
    </w:p>
    <w:p w14:paraId="27D245E1" w14:textId="77777777" w:rsidR="001B4AAE" w:rsidRDefault="001B4AAE">
      <w:pPr>
        <w:rPr>
          <w:b/>
          <w:bCs/>
          <w:i/>
          <w:iCs/>
        </w:rPr>
      </w:pPr>
    </w:p>
    <w:p w14:paraId="3765E060" w14:textId="02ECBD51" w:rsidR="00E94592" w:rsidRDefault="00B10E55">
      <w:r>
        <w:t>Vendors, except for public colleges and universities, must provide evidence of financial stability prepared by a Certified Public Accountant (CPA</w:t>
      </w:r>
      <w:r w:rsidR="00AD7BA8">
        <w:t xml:space="preserve">). </w:t>
      </w:r>
      <w:r w:rsidR="00E94592">
        <w:t>Vendors cannot solely rely on funds from Workforce Solutions. Required documentation:</w:t>
      </w:r>
    </w:p>
    <w:p w14:paraId="68F33520" w14:textId="0241382F" w:rsidR="00E94592" w:rsidRDefault="00E94592" w:rsidP="001C720A">
      <w:pPr>
        <w:spacing w:after="0"/>
      </w:pPr>
      <w:r w:rsidRPr="001C720A">
        <w:rPr>
          <w:u w:val="single"/>
        </w:rPr>
        <w:t>Sole Proprietorship</w:t>
      </w:r>
      <w:r w:rsidR="0040668D">
        <w:rPr>
          <w:u w:val="single"/>
        </w:rPr>
        <w:t>/Individual</w:t>
      </w:r>
      <w:r w:rsidR="00AD6704">
        <w:rPr>
          <w:u w:val="single"/>
        </w:rPr>
        <w:t>:</w:t>
      </w:r>
    </w:p>
    <w:p w14:paraId="2ECE07D2" w14:textId="2842E330" w:rsidR="00E94592" w:rsidRDefault="00E94592" w:rsidP="001C720A">
      <w:pPr>
        <w:pStyle w:val="ListParagraph"/>
        <w:numPr>
          <w:ilvl w:val="0"/>
          <w:numId w:val="1"/>
        </w:numPr>
      </w:pPr>
      <w:r>
        <w:t>Name of Owner of Record and copy of DBA (if applicable) AND</w:t>
      </w:r>
    </w:p>
    <w:p w14:paraId="4C92F613" w14:textId="49AF07A3" w:rsidR="00DD7106" w:rsidRDefault="0040668D" w:rsidP="001C720A">
      <w:pPr>
        <w:pStyle w:val="ListParagraph"/>
        <w:numPr>
          <w:ilvl w:val="0"/>
          <w:numId w:val="1"/>
        </w:numPr>
      </w:pPr>
      <w:r w:rsidRPr="0040668D">
        <w:rPr>
          <w:b/>
          <w:bCs/>
          <w:u w:val="single"/>
        </w:rPr>
        <w:t>Reviewed</w:t>
      </w:r>
      <w:r w:rsidR="001C720A">
        <w:t xml:space="preserve"> Financial Statements</w:t>
      </w:r>
      <w:r w:rsidR="00DD7106">
        <w:t xml:space="preserve"> of business</w:t>
      </w:r>
      <w:r w:rsidR="005E2863">
        <w:t xml:space="preserve"> for the most recent fiscal year</w:t>
      </w:r>
    </w:p>
    <w:p w14:paraId="0521A04F" w14:textId="4B93FBC0" w:rsidR="001C720A" w:rsidRDefault="001C720A" w:rsidP="005E2863">
      <w:pPr>
        <w:pStyle w:val="ListParagraph"/>
        <w:numPr>
          <w:ilvl w:val="1"/>
          <w:numId w:val="1"/>
        </w:numPr>
      </w:pPr>
      <w:r>
        <w:t xml:space="preserve">Balance Sheet, Income </w:t>
      </w:r>
      <w:r w:rsidR="005E2863">
        <w:t xml:space="preserve">and Expense </w:t>
      </w:r>
      <w:r>
        <w:t xml:space="preserve">Statement, </w:t>
      </w:r>
      <w:r w:rsidR="00DD7106">
        <w:t xml:space="preserve">Statement of </w:t>
      </w:r>
      <w:r>
        <w:t>Cash Flow</w:t>
      </w:r>
      <w:r w:rsidR="00DD7106">
        <w:t>, and all notes required by GAAP</w:t>
      </w:r>
    </w:p>
    <w:p w14:paraId="0E4563F0" w14:textId="0B5940F1" w:rsidR="0040668D" w:rsidRPr="00875372" w:rsidRDefault="00DD7106" w:rsidP="0040668D">
      <w:pPr>
        <w:pStyle w:val="ListParagraph"/>
        <w:numPr>
          <w:ilvl w:val="1"/>
          <w:numId w:val="1"/>
        </w:numPr>
        <w:rPr>
          <w:u w:val="single"/>
        </w:rPr>
      </w:pPr>
      <w:r>
        <w:t>P</w:t>
      </w:r>
      <w:r w:rsidR="0040668D" w:rsidRPr="0040668D">
        <w:t xml:space="preserve">repared in accordance </w:t>
      </w:r>
      <w:r w:rsidR="005E2863">
        <w:t>to</w:t>
      </w:r>
      <w:r w:rsidR="00875372">
        <w:t xml:space="preserve"> </w:t>
      </w:r>
      <w:r w:rsidR="00875372" w:rsidRPr="00875372">
        <w:rPr>
          <w:u w:val="single"/>
        </w:rPr>
        <w:t>Statements on Standards for Accounting and Review Services</w:t>
      </w:r>
    </w:p>
    <w:p w14:paraId="7F2CDC71" w14:textId="09B75C84" w:rsidR="00875372" w:rsidRPr="00875372" w:rsidRDefault="00875372" w:rsidP="0040668D">
      <w:pPr>
        <w:pStyle w:val="ListParagraph"/>
        <w:numPr>
          <w:ilvl w:val="1"/>
          <w:numId w:val="1"/>
        </w:numPr>
        <w:rPr>
          <w:u w:val="single"/>
        </w:rPr>
      </w:pPr>
      <w:r>
        <w:t>Notes to the Reviewed Financial Statements must disclosed amount of payments for the next five (5) years to meet debt agreements as required by Generally Accepted Accounting Principles (GAAP).</w:t>
      </w:r>
    </w:p>
    <w:p w14:paraId="1F4C9E11" w14:textId="13FAA64C" w:rsidR="0040668D" w:rsidRDefault="0040668D" w:rsidP="00875372">
      <w:pPr>
        <w:spacing w:after="0"/>
      </w:pPr>
      <w:r w:rsidRPr="00875372">
        <w:rPr>
          <w:u w:val="single"/>
        </w:rPr>
        <w:t xml:space="preserve">Partnership or </w:t>
      </w:r>
      <w:r w:rsidR="00875372" w:rsidRPr="00875372">
        <w:rPr>
          <w:u w:val="single"/>
        </w:rPr>
        <w:t>For</w:t>
      </w:r>
      <w:r w:rsidR="00875372">
        <w:rPr>
          <w:u w:val="single"/>
        </w:rPr>
        <w:t>-</w:t>
      </w:r>
      <w:r w:rsidR="00875372" w:rsidRPr="00875372">
        <w:rPr>
          <w:u w:val="single"/>
        </w:rPr>
        <w:t xml:space="preserve">Profit </w:t>
      </w:r>
      <w:r w:rsidRPr="00875372">
        <w:rPr>
          <w:u w:val="single"/>
        </w:rPr>
        <w:t>Corporation</w:t>
      </w:r>
      <w:r w:rsidR="00AD6704">
        <w:rPr>
          <w:u w:val="single"/>
        </w:rPr>
        <w:t>:</w:t>
      </w:r>
    </w:p>
    <w:p w14:paraId="219B4316" w14:textId="73233C78" w:rsidR="0040668D" w:rsidRDefault="0040668D" w:rsidP="0040668D">
      <w:pPr>
        <w:pStyle w:val="ListParagraph"/>
        <w:numPr>
          <w:ilvl w:val="0"/>
          <w:numId w:val="2"/>
        </w:numPr>
      </w:pPr>
      <w:r>
        <w:t>Articles of Incorporation or Partnership agreement and DBA (if applicable) AND</w:t>
      </w:r>
    </w:p>
    <w:p w14:paraId="79B38774" w14:textId="1EF12895" w:rsidR="00DD7106" w:rsidRDefault="00DD7106" w:rsidP="0040668D">
      <w:pPr>
        <w:pStyle w:val="ListParagraph"/>
        <w:numPr>
          <w:ilvl w:val="0"/>
          <w:numId w:val="2"/>
        </w:numPr>
      </w:pPr>
      <w:r w:rsidRPr="00DD7106">
        <w:rPr>
          <w:b/>
          <w:bCs/>
          <w:u w:val="single"/>
        </w:rPr>
        <w:t>Audited</w:t>
      </w:r>
      <w:r>
        <w:t xml:space="preserve"> Financial Statements</w:t>
      </w:r>
      <w:r w:rsidR="005E2863">
        <w:t xml:space="preserve"> for the most recent fiscal year</w:t>
      </w:r>
    </w:p>
    <w:p w14:paraId="1581C79A" w14:textId="77777777" w:rsidR="00DD7106" w:rsidRDefault="00DD7106" w:rsidP="00DD7106">
      <w:pPr>
        <w:pStyle w:val="ListParagraph"/>
        <w:numPr>
          <w:ilvl w:val="1"/>
          <w:numId w:val="2"/>
        </w:numPr>
      </w:pPr>
      <w:r>
        <w:t>Balance Sheet, Income and Expense Statement, Statement of Cash Flow, and all notes required by GAAP</w:t>
      </w:r>
    </w:p>
    <w:p w14:paraId="508B96B8" w14:textId="76A3DACB" w:rsidR="00DD7106" w:rsidRDefault="00DD7106" w:rsidP="00DD7106">
      <w:pPr>
        <w:pStyle w:val="ListParagraph"/>
        <w:numPr>
          <w:ilvl w:val="1"/>
          <w:numId w:val="2"/>
        </w:numPr>
      </w:pPr>
      <w:r>
        <w:t>Prepared by a CPA for the last fiscal year in accordance with Generally Accepted Auditing Standards (GAAS).</w:t>
      </w:r>
    </w:p>
    <w:p w14:paraId="4DD6BCFA" w14:textId="1B4FFD48" w:rsidR="005E2863" w:rsidRDefault="005E2863" w:rsidP="005E2863">
      <w:pPr>
        <w:spacing w:after="0"/>
      </w:pPr>
      <w:r>
        <w:rPr>
          <w:u w:val="single"/>
        </w:rPr>
        <w:t>Non-Profit Organization</w:t>
      </w:r>
      <w:r w:rsidR="00AD6704">
        <w:t>:</w:t>
      </w:r>
    </w:p>
    <w:p w14:paraId="421CA427" w14:textId="63466A07" w:rsidR="005E2863" w:rsidRDefault="005E2863" w:rsidP="005E2863">
      <w:pPr>
        <w:pStyle w:val="ListParagraph"/>
        <w:numPr>
          <w:ilvl w:val="0"/>
          <w:numId w:val="3"/>
        </w:numPr>
      </w:pPr>
      <w:r>
        <w:t>IRS Tax Exemption Certificate (IRS Form 501(C )3 AND</w:t>
      </w:r>
    </w:p>
    <w:p w14:paraId="5FD24422" w14:textId="480EE6B4" w:rsidR="005E2863" w:rsidRDefault="005E2863" w:rsidP="005E2863">
      <w:pPr>
        <w:pStyle w:val="ListParagraph"/>
        <w:numPr>
          <w:ilvl w:val="0"/>
          <w:numId w:val="3"/>
        </w:numPr>
      </w:pPr>
      <w:r w:rsidRPr="00DD7106">
        <w:rPr>
          <w:b/>
          <w:bCs/>
          <w:u w:val="single"/>
        </w:rPr>
        <w:t>Audited</w:t>
      </w:r>
      <w:r>
        <w:t xml:space="preserve"> Financial Statements for the most recent fiscal year</w:t>
      </w:r>
    </w:p>
    <w:p w14:paraId="208CAFA2" w14:textId="77777777" w:rsidR="005E2863" w:rsidRDefault="005E2863" w:rsidP="005E2863">
      <w:pPr>
        <w:pStyle w:val="ListParagraph"/>
        <w:numPr>
          <w:ilvl w:val="1"/>
          <w:numId w:val="3"/>
        </w:numPr>
      </w:pPr>
      <w:r>
        <w:t>Balance Sheet, Income and Expense Statement, Statement of Cash Flow, and all notes required by GAAP</w:t>
      </w:r>
    </w:p>
    <w:p w14:paraId="503AA72D" w14:textId="77777777" w:rsidR="005E2863" w:rsidRDefault="005E2863" w:rsidP="005E2863">
      <w:pPr>
        <w:pStyle w:val="ListParagraph"/>
        <w:numPr>
          <w:ilvl w:val="1"/>
          <w:numId w:val="3"/>
        </w:numPr>
      </w:pPr>
      <w:r>
        <w:t>Prepared by a CPA for the last fiscal year in accordance with Generally Accepted Auditing Standards (GAAS).</w:t>
      </w:r>
    </w:p>
    <w:p w14:paraId="05C4093B" w14:textId="328CFE1E" w:rsidR="00AD7BA8" w:rsidRDefault="00AD7BA8" w:rsidP="00AD7BA8">
      <w:pPr>
        <w:spacing w:after="0"/>
      </w:pPr>
      <w:r>
        <w:rPr>
          <w:u w:val="single"/>
        </w:rPr>
        <w:t>Additional Required Documents</w:t>
      </w:r>
      <w:r w:rsidR="00AD6704">
        <w:t>:</w:t>
      </w:r>
    </w:p>
    <w:p w14:paraId="4CA2BDC7" w14:textId="61473372" w:rsidR="00AD7BA8" w:rsidRDefault="00AD7BA8" w:rsidP="00AD7BA8">
      <w:pPr>
        <w:spacing w:after="0"/>
      </w:pPr>
      <w:r>
        <w:t>Owner/President must submit a signed and notarized true and correct statement:</w:t>
      </w:r>
    </w:p>
    <w:p w14:paraId="0EC7E8F9" w14:textId="1D07EBDE" w:rsidR="00AD7BA8" w:rsidRDefault="00AD7BA8" w:rsidP="00AD7BA8">
      <w:pPr>
        <w:pStyle w:val="ListParagraph"/>
        <w:numPr>
          <w:ilvl w:val="0"/>
          <w:numId w:val="5"/>
        </w:numPr>
      </w:pPr>
      <w:r>
        <w:t>Outli</w:t>
      </w:r>
      <w:r w:rsidR="00C732AD">
        <w:t>n</w:t>
      </w:r>
      <w:r>
        <w:t>e the expected expenses for the first three months of operation</w:t>
      </w:r>
      <w:r w:rsidR="00C732AD">
        <w:t xml:space="preserve"> as a Workforce Solutions – Gulf Coast vendor. Including, but not limited to:</w:t>
      </w:r>
    </w:p>
    <w:p w14:paraId="7E802FB8" w14:textId="52D7C816" w:rsidR="00C732AD" w:rsidRDefault="00C732AD" w:rsidP="00C732AD">
      <w:pPr>
        <w:pStyle w:val="ListParagraph"/>
        <w:numPr>
          <w:ilvl w:val="1"/>
          <w:numId w:val="5"/>
        </w:numPr>
      </w:pPr>
      <w:r>
        <w:t>Salaries, including pay7roll taxes and any other related expenses</w:t>
      </w:r>
    </w:p>
    <w:p w14:paraId="3B23C91D" w14:textId="45A21A75" w:rsidR="00C732AD" w:rsidRDefault="00C732AD" w:rsidP="00C732AD">
      <w:pPr>
        <w:pStyle w:val="ListParagraph"/>
        <w:numPr>
          <w:ilvl w:val="1"/>
          <w:numId w:val="5"/>
        </w:numPr>
      </w:pPr>
      <w:r>
        <w:t>Lease payments for equipment, listed by name of equipment</w:t>
      </w:r>
    </w:p>
    <w:p w14:paraId="76DDD204" w14:textId="60444AEA" w:rsidR="00C732AD" w:rsidRDefault="00C732AD" w:rsidP="00C732AD">
      <w:pPr>
        <w:pStyle w:val="ListParagraph"/>
        <w:numPr>
          <w:ilvl w:val="1"/>
          <w:numId w:val="5"/>
        </w:numPr>
      </w:pPr>
      <w:r>
        <w:t>Lease payments for facilities</w:t>
      </w:r>
    </w:p>
    <w:p w14:paraId="004CA3A2" w14:textId="527D24B1" w:rsidR="00C732AD" w:rsidRDefault="00C732AD" w:rsidP="00C732AD">
      <w:pPr>
        <w:pStyle w:val="ListParagraph"/>
        <w:numPr>
          <w:ilvl w:val="1"/>
          <w:numId w:val="5"/>
        </w:numPr>
      </w:pPr>
      <w:r>
        <w:t>Accounting, legal, &amp; professional fees</w:t>
      </w:r>
    </w:p>
    <w:p w14:paraId="25F58B85" w14:textId="00691054" w:rsidR="00C732AD" w:rsidRDefault="00C732AD" w:rsidP="00C732AD">
      <w:pPr>
        <w:pStyle w:val="ListParagraph"/>
        <w:numPr>
          <w:ilvl w:val="1"/>
          <w:numId w:val="5"/>
        </w:numPr>
      </w:pPr>
      <w:r>
        <w:t xml:space="preserve">An estimate of other expenses (advertising, travel, </w:t>
      </w:r>
      <w:proofErr w:type="gramStart"/>
      <w:r>
        <w:t>text books</w:t>
      </w:r>
      <w:proofErr w:type="gramEnd"/>
      <w:r>
        <w:t>, supplies (Office &amp; classroom), printing, etc</w:t>
      </w:r>
      <w:r w:rsidR="003501AE">
        <w:t>.</w:t>
      </w:r>
    </w:p>
    <w:p w14:paraId="4F9EDBA5" w14:textId="72F78A8A" w:rsidR="00C732AD" w:rsidRDefault="00C732AD" w:rsidP="00C732AD">
      <w:pPr>
        <w:pStyle w:val="ListParagraph"/>
        <w:numPr>
          <w:ilvl w:val="0"/>
          <w:numId w:val="5"/>
        </w:numPr>
      </w:pPr>
      <w:r>
        <w:t>Projection of gross amount of tuition &amp; fees to be collected during the first 2 years of operation as a Workforce Solutions – Gulf Coast vendor</w:t>
      </w:r>
    </w:p>
    <w:p w14:paraId="1D8ACF10" w14:textId="466F8C9D" w:rsidR="00C732AD" w:rsidRDefault="00C732AD" w:rsidP="00C732AD">
      <w:pPr>
        <w:pStyle w:val="ListParagraph"/>
        <w:numPr>
          <w:ilvl w:val="0"/>
          <w:numId w:val="5"/>
        </w:numPr>
      </w:pPr>
      <w:r>
        <w:t>Identify the Fiscal Year End (FYE) that will be used on future financial statements</w:t>
      </w:r>
    </w:p>
    <w:p w14:paraId="0BC94D32" w14:textId="4DC829F2" w:rsidR="00C732AD" w:rsidRDefault="00C732AD" w:rsidP="00C732AD">
      <w:pPr>
        <w:spacing w:after="0"/>
      </w:pPr>
      <w:r>
        <w:rPr>
          <w:u w:val="single"/>
        </w:rPr>
        <w:lastRenderedPageBreak/>
        <w:t>Guidelines Used to Determine Financial Stability</w:t>
      </w:r>
      <w:r w:rsidR="00AD6704">
        <w:rPr>
          <w:u w:val="single"/>
        </w:rPr>
        <w:t>:</w:t>
      </w:r>
    </w:p>
    <w:p w14:paraId="74F99FD6" w14:textId="2135EE92" w:rsidR="00B10E55" w:rsidRDefault="003501AE" w:rsidP="00C732AD">
      <w:r>
        <w:t xml:space="preserve">The general guidelines listed below are used in </w:t>
      </w:r>
      <w:proofErr w:type="gramStart"/>
      <w:r>
        <w:t>making a determination</w:t>
      </w:r>
      <w:proofErr w:type="gramEnd"/>
      <w:r>
        <w:t xml:space="preserve"> regarding the financial stability of a Workforce Solutions – Gulf Coast vendor. Please understand these guidelines are merely a starting point in our examination. Due to the complex field of accounting, it is impossible to outline all possible questionable areas that may be revealed in the examination.</w:t>
      </w:r>
    </w:p>
    <w:p w14:paraId="100F5E61" w14:textId="77777777" w:rsidR="00554E0E" w:rsidRDefault="003501AE" w:rsidP="003501AE">
      <w:pPr>
        <w:pStyle w:val="ListParagraph"/>
        <w:numPr>
          <w:ilvl w:val="0"/>
          <w:numId w:val="7"/>
        </w:numPr>
      </w:pPr>
      <w:r>
        <w:t xml:space="preserve">Financial Statements must be submitted within four (4) months of the Balance Sheet date. If more than four months have elapsed since fiscal year end, a separate set of financial statements which have been </w:t>
      </w:r>
      <w:r w:rsidRPr="00554E0E">
        <w:rPr>
          <w:b/>
          <w:bCs/>
          <w:u w:val="single"/>
        </w:rPr>
        <w:t>compiled</w:t>
      </w:r>
      <w:r>
        <w:t xml:space="preserve"> by a CPA must also be submitted.</w:t>
      </w:r>
    </w:p>
    <w:p w14:paraId="2D0E286A" w14:textId="63F62611" w:rsidR="003501AE" w:rsidRDefault="003501AE" w:rsidP="00554E0E">
      <w:pPr>
        <w:pStyle w:val="ListParagraph"/>
        <w:numPr>
          <w:ilvl w:val="1"/>
          <w:numId w:val="7"/>
        </w:numPr>
      </w:pPr>
      <w:r>
        <w:t>At least one note which discloses the current &amp; long-</w:t>
      </w:r>
      <w:r w:rsidR="00554E0E">
        <w:t>t</w:t>
      </w:r>
      <w:r>
        <w:t xml:space="preserve">erm liabilities </w:t>
      </w:r>
      <w:proofErr w:type="gramStart"/>
      <w:r>
        <w:t>similar to</w:t>
      </w:r>
      <w:proofErr w:type="gramEnd"/>
      <w:r>
        <w:t xml:space="preserve"> </w:t>
      </w:r>
      <w:r w:rsidR="00554E0E">
        <w:t>those required by GAAP for reviewed and audited statements must be included.</w:t>
      </w:r>
    </w:p>
    <w:p w14:paraId="41D25B1D" w14:textId="58A50DE0" w:rsidR="00554E0E" w:rsidRDefault="00554E0E" w:rsidP="00554E0E">
      <w:pPr>
        <w:pStyle w:val="ListParagraph"/>
        <w:numPr>
          <w:ilvl w:val="0"/>
          <w:numId w:val="7"/>
        </w:numPr>
      </w:pPr>
      <w:r>
        <w:t>The financial statements must be prepared by a Certified Public Accountant (CPA) who is appropriately registered with their state board of public accountancy. Out-of-state CPAs must give their state of registration and license number.</w:t>
      </w:r>
    </w:p>
    <w:p w14:paraId="4CE436DD" w14:textId="1D9DFF94" w:rsidR="00554E0E" w:rsidRDefault="00554E0E" w:rsidP="00363106">
      <w:pPr>
        <w:pStyle w:val="ListParagraph"/>
        <w:numPr>
          <w:ilvl w:val="0"/>
          <w:numId w:val="7"/>
        </w:numPr>
      </w:pPr>
      <w:r>
        <w:t>The financial statements must be accompanied by a report from the CPA, or CPA firm, associated with the financial statements.</w:t>
      </w:r>
      <w:r w:rsidR="00363106">
        <w:t xml:space="preserve"> </w:t>
      </w:r>
      <w:r>
        <w:t>All financial statements must be prepared in accordance to GAAP. A</w:t>
      </w:r>
      <w:r w:rsidR="00363106">
        <w:t>ll a</w:t>
      </w:r>
      <w:r>
        <w:t xml:space="preserve">udited, </w:t>
      </w:r>
      <w:r w:rsidR="00363106">
        <w:t>r</w:t>
      </w:r>
      <w:r>
        <w:t>eviewed, or compiled</w:t>
      </w:r>
      <w:r w:rsidR="00363106">
        <w:t xml:space="preserve"> financial statements must be done in accordance to GAAS.</w:t>
      </w:r>
    </w:p>
    <w:p w14:paraId="4D7F42CE" w14:textId="2E2AA0BB" w:rsidR="00363106" w:rsidRDefault="00363106" w:rsidP="00554E0E">
      <w:pPr>
        <w:pStyle w:val="ListParagraph"/>
        <w:numPr>
          <w:ilvl w:val="0"/>
          <w:numId w:val="7"/>
        </w:numPr>
      </w:pPr>
      <w:r>
        <w:t>The Current Ratio must be no less than 1:1 (100%). The Current Ratio is the relationship of Current Assets to Current Liabilities. A Current Liability is a liability due within twelve (12) months of the date of the balance sheet. Whe</w:t>
      </w:r>
      <w:r w:rsidR="00EA06DC">
        <w:t>n</w:t>
      </w:r>
      <w:r>
        <w:t xml:space="preserve"> calculating the Current </w:t>
      </w:r>
      <w:proofErr w:type="gramStart"/>
      <w:r>
        <w:t>Ratio</w:t>
      </w:r>
      <w:proofErr w:type="gramEnd"/>
      <w:r>
        <w:t xml:space="preserve"> we will deduct:</w:t>
      </w:r>
    </w:p>
    <w:p w14:paraId="0E74181C" w14:textId="4F0E2438" w:rsidR="00363106" w:rsidRDefault="00363106" w:rsidP="00363106">
      <w:pPr>
        <w:pStyle w:val="ListParagraph"/>
        <w:numPr>
          <w:ilvl w:val="1"/>
          <w:numId w:val="7"/>
        </w:numPr>
      </w:pPr>
      <w:r>
        <w:t>Any unearned tuition from both assets and liabilities</w:t>
      </w:r>
    </w:p>
    <w:p w14:paraId="6C905CE5" w14:textId="724B2F76" w:rsidR="00363106" w:rsidRDefault="00363106" w:rsidP="00363106">
      <w:pPr>
        <w:pStyle w:val="ListParagraph"/>
        <w:numPr>
          <w:ilvl w:val="1"/>
          <w:numId w:val="7"/>
        </w:numPr>
      </w:pPr>
      <w:r>
        <w:t>Any subscriptions receivable and/or related party receivables in connection with loans to stockholders is the loan has been included in current assets for more than</w:t>
      </w:r>
      <w:r w:rsidR="00EA06DC">
        <w:t xml:space="preserve"> one year from both assets and equity sections of the balance sheet</w:t>
      </w:r>
    </w:p>
    <w:p w14:paraId="4968A9CB" w14:textId="7F323367" w:rsidR="00EA06DC" w:rsidRDefault="00EA06DC" w:rsidP="00EA06DC">
      <w:pPr>
        <w:pStyle w:val="ListParagraph"/>
        <w:numPr>
          <w:ilvl w:val="0"/>
          <w:numId w:val="7"/>
        </w:numPr>
      </w:pPr>
      <w:r>
        <w:t>Stockholders’ equity (Net Worth) must have a positive balance.</w:t>
      </w:r>
    </w:p>
    <w:p w14:paraId="43EAECA8" w14:textId="092E42EA" w:rsidR="00EA06DC" w:rsidRDefault="00EA06DC" w:rsidP="00EA06DC">
      <w:pPr>
        <w:pStyle w:val="ListParagraph"/>
        <w:numPr>
          <w:ilvl w:val="0"/>
          <w:numId w:val="7"/>
        </w:numPr>
      </w:pPr>
      <w:r>
        <w:t>No Past Due Liabilities</w:t>
      </w:r>
    </w:p>
    <w:p w14:paraId="4EC9B065" w14:textId="3942D9E3" w:rsidR="00EA06DC" w:rsidRDefault="00EA06DC" w:rsidP="00EA06DC">
      <w:pPr>
        <w:pStyle w:val="ListParagraph"/>
        <w:numPr>
          <w:ilvl w:val="0"/>
          <w:numId w:val="7"/>
        </w:numPr>
      </w:pPr>
      <w:r>
        <w:t xml:space="preserve">Balance Sheet must reflect </w:t>
      </w:r>
      <w:proofErr w:type="gramStart"/>
      <w:r>
        <w:t>sufficient</w:t>
      </w:r>
      <w:proofErr w:type="gramEnd"/>
      <w:r>
        <w:t xml:space="preserve"> cash to pay all expenses for the first three (3) months of operation, or submit a sworn affidavit affirming the availability of sufficient cash to meet those projected expenses</w:t>
      </w:r>
    </w:p>
    <w:p w14:paraId="54AD9987" w14:textId="018C3132" w:rsidR="00EA06DC" w:rsidRDefault="00EA06DC" w:rsidP="00EA06DC">
      <w:pPr>
        <w:pStyle w:val="ListParagraph"/>
        <w:numPr>
          <w:ilvl w:val="0"/>
          <w:numId w:val="7"/>
        </w:numPr>
      </w:pPr>
      <w:r>
        <w:t>Balance Sheet must reflect that Stockholders’ Equity (Net Worth) exceeds the amount shown for goodwill under the asset section of the balance sheet.</w:t>
      </w:r>
    </w:p>
    <w:p w14:paraId="40E9C506" w14:textId="5FC44445" w:rsidR="00EA06DC" w:rsidRDefault="00EA06DC" w:rsidP="00EA06DC">
      <w:pPr>
        <w:pStyle w:val="ListParagraph"/>
        <w:numPr>
          <w:ilvl w:val="0"/>
          <w:numId w:val="7"/>
        </w:numPr>
      </w:pPr>
      <w:r>
        <w:t>Cash basis statements are not acceptable. Income tax basis statements are not acceptable unless the income tax basis of accounting is limited to the method of calculating depreciation.</w:t>
      </w:r>
    </w:p>
    <w:sectPr w:rsidR="00EA06DC" w:rsidSect="00C732A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80" w:right="72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EAF41E" w14:textId="77777777" w:rsidR="00FF006C" w:rsidRDefault="00FF006C" w:rsidP="001B4AAE">
      <w:pPr>
        <w:spacing w:after="0" w:line="240" w:lineRule="auto"/>
      </w:pPr>
      <w:r>
        <w:separator/>
      </w:r>
    </w:p>
  </w:endnote>
  <w:endnote w:type="continuationSeparator" w:id="0">
    <w:p w14:paraId="490AAB0C" w14:textId="77777777" w:rsidR="00FF006C" w:rsidRDefault="00FF006C" w:rsidP="001B4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98065" w14:textId="77777777" w:rsidR="00BB2531" w:rsidRDefault="00BB25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759453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5BD4C5" w14:textId="6965DA6E" w:rsidR="00BB2531" w:rsidRDefault="00BB2531" w:rsidP="00BB2531">
        <w:pPr>
          <w:pStyle w:val="Footer"/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114118CA" wp14:editId="37D27173">
              <wp:simplePos x="0" y="0"/>
              <wp:positionH relativeFrom="column">
                <wp:posOffset>4781550</wp:posOffset>
              </wp:positionH>
              <wp:positionV relativeFrom="paragraph">
                <wp:posOffset>7620</wp:posOffset>
              </wp:positionV>
              <wp:extent cx="1665385" cy="438150"/>
              <wp:effectExtent l="0" t="0" r="0" b="0"/>
              <wp:wrapNone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5385" cy="438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>May 2021</w:t>
        </w:r>
      </w:p>
      <w:p w14:paraId="7F6741F3" w14:textId="53B532AC" w:rsidR="002C3E6A" w:rsidRDefault="002C3E6A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57808" w14:textId="77777777" w:rsidR="00BB2531" w:rsidRDefault="00BB25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8D2C92" w14:textId="77777777" w:rsidR="00FF006C" w:rsidRDefault="00FF006C" w:rsidP="001B4AAE">
      <w:pPr>
        <w:spacing w:after="0" w:line="240" w:lineRule="auto"/>
      </w:pPr>
      <w:r>
        <w:separator/>
      </w:r>
    </w:p>
  </w:footnote>
  <w:footnote w:type="continuationSeparator" w:id="0">
    <w:p w14:paraId="46C9BB35" w14:textId="77777777" w:rsidR="00FF006C" w:rsidRDefault="00FF006C" w:rsidP="001B4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74860" w14:textId="77777777" w:rsidR="00BB2531" w:rsidRDefault="00BB25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D446C" w14:textId="425C3828" w:rsidR="001B4AAE" w:rsidRDefault="001B4AAE">
    <w:pPr>
      <w:pStyle w:val="Header"/>
    </w:pPr>
    <w:r w:rsidRPr="00CD1A5C">
      <w:rPr>
        <w:noProof/>
      </w:rPr>
      <w:drawing>
        <wp:anchor distT="0" distB="0" distL="114300" distR="114300" simplePos="0" relativeHeight="251661312" behindDoc="0" locked="0" layoutInCell="1" allowOverlap="1" wp14:anchorId="66E32069" wp14:editId="5896F0CE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1320317" cy="2449745"/>
          <wp:effectExtent l="0" t="0" r="0" b="8255"/>
          <wp:wrapNone/>
          <wp:docPr id="6" name="Picture 5">
            <a:extLst xmlns:a="http://schemas.openxmlformats.org/drawingml/2006/main">
              <a:ext uri="{FF2B5EF4-FFF2-40B4-BE49-F238E27FC236}">
                <a16:creationId xmlns:a16="http://schemas.microsoft.com/office/drawing/2014/main" id="{7DDC10A5-E289-6549-AC6A-999916542ED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>
                    <a:extLst>
                      <a:ext uri="{FF2B5EF4-FFF2-40B4-BE49-F238E27FC236}">
                        <a16:creationId xmlns:a16="http://schemas.microsoft.com/office/drawing/2014/main" id="{7DDC10A5-E289-6549-AC6A-999916542ED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317" cy="2449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9A080" w14:textId="77777777" w:rsidR="00BB2531" w:rsidRDefault="00BB25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15FD8"/>
    <w:multiLevelType w:val="hybridMultilevel"/>
    <w:tmpl w:val="5CCEA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03080"/>
    <w:multiLevelType w:val="hybridMultilevel"/>
    <w:tmpl w:val="C5943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C491E"/>
    <w:multiLevelType w:val="hybridMultilevel"/>
    <w:tmpl w:val="7908A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F43D5"/>
    <w:multiLevelType w:val="hybridMultilevel"/>
    <w:tmpl w:val="C5943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B0387A"/>
    <w:multiLevelType w:val="hybridMultilevel"/>
    <w:tmpl w:val="2C0A0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6853C9"/>
    <w:multiLevelType w:val="hybridMultilevel"/>
    <w:tmpl w:val="2C0A0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2B40B4"/>
    <w:multiLevelType w:val="hybridMultilevel"/>
    <w:tmpl w:val="2C0A0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E55"/>
    <w:rsid w:val="000214F7"/>
    <w:rsid w:val="001B4AAE"/>
    <w:rsid w:val="001C720A"/>
    <w:rsid w:val="002C3E6A"/>
    <w:rsid w:val="003501AE"/>
    <w:rsid w:val="0035781A"/>
    <w:rsid w:val="00363106"/>
    <w:rsid w:val="0040668D"/>
    <w:rsid w:val="0048614C"/>
    <w:rsid w:val="00554E0E"/>
    <w:rsid w:val="005E2863"/>
    <w:rsid w:val="00680126"/>
    <w:rsid w:val="00875372"/>
    <w:rsid w:val="00AD6704"/>
    <w:rsid w:val="00AD7BA8"/>
    <w:rsid w:val="00B10E55"/>
    <w:rsid w:val="00B11A9C"/>
    <w:rsid w:val="00BA2D92"/>
    <w:rsid w:val="00BB2531"/>
    <w:rsid w:val="00C732AD"/>
    <w:rsid w:val="00DD7106"/>
    <w:rsid w:val="00E94592"/>
    <w:rsid w:val="00EA06DC"/>
    <w:rsid w:val="00FF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CCDF496"/>
  <w15:chartTrackingRefBased/>
  <w15:docId w15:val="{ACCCC202-959D-486C-BD6D-E971EC123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2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4A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AA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B4A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AAE"/>
  </w:style>
  <w:style w:type="paragraph" w:styleId="Footer">
    <w:name w:val="footer"/>
    <w:basedOn w:val="Normal"/>
    <w:link w:val="FooterChar"/>
    <w:uiPriority w:val="99"/>
    <w:unhideWhenUsed/>
    <w:rsid w:val="001B4A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9E17FB2855B4996DBFF895D0628DF" ma:contentTypeVersion="16" ma:contentTypeDescription="Create a new document." ma:contentTypeScope="" ma:versionID="9588e3d149584225615ea5004e241e4b">
  <xsd:schema xmlns:xsd="http://www.w3.org/2001/XMLSchema" xmlns:xs="http://www.w3.org/2001/XMLSchema" xmlns:p="http://schemas.microsoft.com/office/2006/metadata/properties" xmlns:ns1="http://schemas.microsoft.com/sharepoint/v3" xmlns:ns3="db9b5254-4bd8-4c90-96a6-10d6d4bf7cd3" xmlns:ns4="d3edf67f-6f1b-46c1-9f30-7b4c1812c64d" targetNamespace="http://schemas.microsoft.com/office/2006/metadata/properties" ma:root="true" ma:fieldsID="900c9f356391b82b86fffc09be808cae" ns1:_="" ns3:_="" ns4:_="">
    <xsd:import namespace="http://schemas.microsoft.com/sharepoint/v3"/>
    <xsd:import namespace="db9b5254-4bd8-4c90-96a6-10d6d4bf7cd3"/>
    <xsd:import namespace="d3edf67f-6f1b-46c1-9f30-7b4c1812c6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b5254-4bd8-4c90-96a6-10d6d4bf7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df67f-6f1b-46c1-9f30-7b4c1812c64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3C14ED2-4B76-4102-9E6E-500F71365F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b9b5254-4bd8-4c90-96a6-10d6d4bf7cd3"/>
    <ds:schemaRef ds:uri="d3edf67f-6f1b-46c1-9f30-7b4c1812c6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622C8B-E839-4BAF-84FD-537BCB2693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FE9B86-D5CE-4890-AEB5-CEA79C145FF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736</Words>
  <Characters>4197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FAPO Finanacial Stability Guidelines</dc:title>
  <dc:subject/>
  <dc:creator>Childers, Gale</dc:creator>
  <cp:keywords>FAPO Finanacial Stability Guidelines</cp:keywords>
  <dc:description>FAPO Finanacial Stability Guidelines</dc:description>
  <cp:lastModifiedBy>Nguyen, Dat</cp:lastModifiedBy>
  <cp:revision>2</cp:revision>
  <dcterms:created xsi:type="dcterms:W3CDTF">2021-06-30T16:59:00Z</dcterms:created>
  <dcterms:modified xsi:type="dcterms:W3CDTF">2021-06-30T16:59:00Z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0x0101000869E17FB2855B4996DBFF895D0628DF</vt:lpwstr>
  </property>
</Properties>
</file>